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888" w:rsidRPr="008A5816" w:rsidRDefault="00465FFB">
      <w:pPr>
        <w:pStyle w:val="Body"/>
        <w:jc w:val="center"/>
        <w:rPr>
          <w:rFonts w:ascii="Times New Roman" w:hAnsi="Times New Roman" w:cs="Times New Roman"/>
          <w:b/>
          <w:bCs/>
        </w:rPr>
      </w:pPr>
      <w:r w:rsidRPr="008A5816">
        <w:rPr>
          <w:rFonts w:ascii="Times New Roman" w:hAnsi="Times New Roman" w:cs="Times New Roman"/>
          <w:b/>
          <w:bCs/>
        </w:rPr>
        <w:t xml:space="preserve">Tematica concursului pentru postul </w:t>
      </w:r>
    </w:p>
    <w:p w:rsidR="002E6888" w:rsidRPr="008A5816" w:rsidRDefault="002E6888" w:rsidP="008A5816">
      <w:pPr>
        <w:pStyle w:val="Body"/>
        <w:jc w:val="center"/>
        <w:rPr>
          <w:rFonts w:ascii="Times New Roman" w:hAnsi="Times New Roman" w:cs="Times New Roman"/>
          <w:b/>
          <w:bCs/>
        </w:rPr>
      </w:pPr>
      <w:r w:rsidRPr="008A5816">
        <w:rPr>
          <w:rFonts w:ascii="Times New Roman" w:hAnsi="Times New Roman" w:cs="Times New Roman"/>
          <w:b/>
          <w:bCs/>
        </w:rPr>
        <w:t>Ș</w:t>
      </w:r>
      <w:r w:rsidR="00465FFB" w:rsidRPr="008A5816">
        <w:rPr>
          <w:rFonts w:ascii="Times New Roman" w:hAnsi="Times New Roman" w:cs="Times New Roman"/>
          <w:b/>
          <w:bCs/>
        </w:rPr>
        <w:t>ef lucră</w:t>
      </w:r>
      <w:r w:rsidR="008A5816" w:rsidRPr="008A5816">
        <w:rPr>
          <w:rFonts w:ascii="Times New Roman" w:hAnsi="Times New Roman" w:cs="Times New Roman"/>
          <w:b/>
          <w:bCs/>
        </w:rPr>
        <w:t>ri 18</w:t>
      </w:r>
      <w:r w:rsidR="00465FFB" w:rsidRPr="008A5816">
        <w:rPr>
          <w:rFonts w:ascii="Times New Roman" w:hAnsi="Times New Roman" w:cs="Times New Roman"/>
          <w:b/>
          <w:bCs/>
        </w:rPr>
        <w:t xml:space="preserve">., din </w:t>
      </w:r>
    </w:p>
    <w:p w:rsidR="00195F18" w:rsidRDefault="00465FFB">
      <w:pPr>
        <w:pStyle w:val="Body"/>
        <w:jc w:val="center"/>
        <w:rPr>
          <w:rFonts w:ascii="Times New Roman" w:hAnsi="Times New Roman" w:cs="Times New Roman"/>
          <w:b/>
          <w:bCs/>
        </w:rPr>
      </w:pPr>
      <w:r w:rsidRPr="008A5816">
        <w:rPr>
          <w:rFonts w:ascii="Times New Roman" w:hAnsi="Times New Roman" w:cs="Times New Roman"/>
          <w:b/>
          <w:bCs/>
        </w:rPr>
        <w:t>Statul de functii a</w:t>
      </w:r>
      <w:r w:rsidR="002E6888" w:rsidRPr="008A5816">
        <w:rPr>
          <w:rFonts w:ascii="Times New Roman" w:hAnsi="Times New Roman" w:cs="Times New Roman"/>
          <w:b/>
          <w:bCs/>
        </w:rPr>
        <w:t>l</w:t>
      </w:r>
      <w:r w:rsidRPr="008A5816">
        <w:rPr>
          <w:rFonts w:ascii="Times New Roman" w:hAnsi="Times New Roman" w:cs="Times New Roman"/>
          <w:b/>
          <w:bCs/>
        </w:rPr>
        <w:t xml:space="preserve"> Departamentului de Bioinginerie</w:t>
      </w:r>
    </w:p>
    <w:p w:rsidR="009B2AF1" w:rsidRPr="008A5816" w:rsidRDefault="009B2AF1">
      <w:pPr>
        <w:pStyle w:val="Body"/>
        <w:jc w:val="center"/>
        <w:rPr>
          <w:rFonts w:ascii="Times New Roman" w:hAnsi="Times New Roman" w:cs="Times New Roman"/>
          <w:b/>
          <w:bCs/>
        </w:rPr>
      </w:pPr>
    </w:p>
    <w:p w:rsidR="009B2AF1" w:rsidRPr="009B2AF1" w:rsidRDefault="00962625" w:rsidP="00172E8C">
      <w:pPr>
        <w:pStyle w:val="Body"/>
        <w:widowControl w:val="0"/>
        <w:numPr>
          <w:ilvl w:val="0"/>
          <w:numId w:val="34"/>
        </w:numPr>
        <w:spacing w:line="360" w:lineRule="auto"/>
        <w:rPr>
          <w:rFonts w:ascii="Times New Roman" w:eastAsia="Calibri" w:hAnsi="Times New Roman" w:cs="Times New Roman"/>
        </w:rPr>
      </w:pPr>
      <w:r w:rsidRPr="009B2AF1">
        <w:rPr>
          <w:rFonts w:ascii="Times New Roman" w:eastAsia="Times New Roman" w:hAnsi="Times New Roman" w:cs="Times New Roman"/>
        </w:rPr>
        <w:t>Introducere în ecologie</w:t>
      </w:r>
    </w:p>
    <w:p w:rsidR="00195F18" w:rsidRPr="009B2AF1" w:rsidRDefault="00962625" w:rsidP="00172E8C">
      <w:pPr>
        <w:pStyle w:val="Body"/>
        <w:widowControl w:val="0"/>
        <w:numPr>
          <w:ilvl w:val="0"/>
          <w:numId w:val="34"/>
        </w:numPr>
        <w:spacing w:line="360" w:lineRule="auto"/>
        <w:rPr>
          <w:rFonts w:ascii="Times New Roman" w:eastAsia="Calibri" w:hAnsi="Times New Roman" w:cs="Times New Roman"/>
        </w:rPr>
      </w:pPr>
      <w:r w:rsidRPr="009B2AF1">
        <w:rPr>
          <w:rFonts w:ascii="Times New Roman" w:eastAsia="Calibri" w:hAnsi="Times New Roman" w:cs="Times New Roman"/>
        </w:rPr>
        <w:t>Circuitul exogen</w:t>
      </w:r>
    </w:p>
    <w:p w:rsidR="00962625" w:rsidRDefault="00962625" w:rsidP="00172E8C">
      <w:pPr>
        <w:pStyle w:val="ColorfulList-Accent11"/>
        <w:numPr>
          <w:ilvl w:val="0"/>
          <w:numId w:val="34"/>
        </w:numPr>
        <w:spacing w:before="0" w:after="0"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62625">
        <w:rPr>
          <w:rFonts w:ascii="Times New Roman" w:eastAsia="Calibri" w:hAnsi="Times New Roman" w:cs="Times New Roman"/>
          <w:sz w:val="24"/>
          <w:szCs w:val="24"/>
        </w:rPr>
        <w:t>Bazele ecologiei fundamentale</w:t>
      </w:r>
    </w:p>
    <w:p w:rsidR="00962625" w:rsidRDefault="00962625" w:rsidP="00172E8C">
      <w:pPr>
        <w:pStyle w:val="ColorfulList-Accent11"/>
        <w:numPr>
          <w:ilvl w:val="0"/>
          <w:numId w:val="34"/>
        </w:numPr>
        <w:spacing w:before="0" w:after="0"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62625">
        <w:rPr>
          <w:rFonts w:ascii="Times New Roman" w:eastAsia="Calibri" w:hAnsi="Times New Roman" w:cs="Times New Roman"/>
          <w:sz w:val="24"/>
          <w:szCs w:val="24"/>
        </w:rPr>
        <w:t>Ecologia atmosferei şi poluarea acesteia</w:t>
      </w:r>
    </w:p>
    <w:p w:rsidR="00962625" w:rsidRDefault="00962625" w:rsidP="00172E8C">
      <w:pPr>
        <w:pStyle w:val="ColorfulList-Accent11"/>
        <w:numPr>
          <w:ilvl w:val="0"/>
          <w:numId w:val="34"/>
        </w:numPr>
        <w:spacing w:before="0" w:after="0"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62625">
        <w:rPr>
          <w:rFonts w:ascii="Times New Roman" w:eastAsia="Calibri" w:hAnsi="Times New Roman" w:cs="Times New Roman"/>
          <w:sz w:val="24"/>
          <w:szCs w:val="24"/>
        </w:rPr>
        <w:t>Ecologia şi poluarea solului</w:t>
      </w:r>
    </w:p>
    <w:p w:rsidR="00AC6782" w:rsidRDefault="00AC6782" w:rsidP="00172E8C">
      <w:pPr>
        <w:pStyle w:val="ColorfulList-Accent11"/>
        <w:numPr>
          <w:ilvl w:val="0"/>
          <w:numId w:val="34"/>
        </w:numPr>
        <w:spacing w:before="0" w:after="0"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AC6782">
        <w:rPr>
          <w:rFonts w:ascii="Times New Roman" w:eastAsia="Calibri" w:hAnsi="Times New Roman" w:cs="Times New Roman"/>
          <w:sz w:val="24"/>
          <w:szCs w:val="24"/>
        </w:rPr>
        <w:t>Ecologia şi proluarea apelor</w:t>
      </w:r>
    </w:p>
    <w:p w:rsidR="009B2AF1" w:rsidRDefault="00AC6782" w:rsidP="00172E8C">
      <w:pPr>
        <w:pStyle w:val="ColorfulList-Accent11"/>
        <w:numPr>
          <w:ilvl w:val="0"/>
          <w:numId w:val="34"/>
        </w:numPr>
        <w:spacing w:before="0" w:after="0"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B2AF1">
        <w:rPr>
          <w:rFonts w:ascii="Times New Roman" w:eastAsia="Calibri" w:hAnsi="Times New Roman" w:cs="Times New Roman"/>
          <w:sz w:val="24"/>
          <w:szCs w:val="24"/>
        </w:rPr>
        <w:t>Alte forme de poluare a mediului</w:t>
      </w:r>
    </w:p>
    <w:p w:rsidR="009B2AF1" w:rsidRDefault="002F3726" w:rsidP="00172E8C">
      <w:pPr>
        <w:pStyle w:val="ColorfulList-Accent11"/>
        <w:numPr>
          <w:ilvl w:val="0"/>
          <w:numId w:val="34"/>
        </w:numPr>
        <w:spacing w:before="0" w:after="0"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B2AF1">
        <w:rPr>
          <w:rFonts w:ascii="Times New Roman" w:eastAsia="Calibri" w:hAnsi="Times New Roman" w:cs="Times New Roman"/>
          <w:sz w:val="24"/>
          <w:szCs w:val="24"/>
        </w:rPr>
        <w:t>Noţiuni introductive, evoluţia conceptelor utilizate de-a-lungul istoriei</w:t>
      </w:r>
    </w:p>
    <w:p w:rsidR="009B2AF1" w:rsidRDefault="002F3726" w:rsidP="00172E8C">
      <w:pPr>
        <w:pStyle w:val="ColorfulList-Accent11"/>
        <w:numPr>
          <w:ilvl w:val="0"/>
          <w:numId w:val="34"/>
        </w:numPr>
        <w:spacing w:before="0" w:after="0"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B2AF1">
        <w:rPr>
          <w:rFonts w:ascii="Times New Roman" w:eastAsia="Calibri" w:hAnsi="Times New Roman" w:cs="Times New Roman"/>
          <w:sz w:val="24"/>
          <w:szCs w:val="24"/>
        </w:rPr>
        <w:t>Prezentarea detaliată a structurii cursului</w:t>
      </w:r>
    </w:p>
    <w:p w:rsidR="009B2AF1" w:rsidRDefault="002F3726" w:rsidP="00172E8C">
      <w:pPr>
        <w:pStyle w:val="ColorfulList-Accent11"/>
        <w:numPr>
          <w:ilvl w:val="0"/>
          <w:numId w:val="34"/>
        </w:numPr>
        <w:spacing w:before="0" w:after="0"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B2AF1">
        <w:rPr>
          <w:rFonts w:ascii="Times New Roman" w:eastAsia="Calibri" w:hAnsi="Times New Roman" w:cs="Times New Roman"/>
          <w:sz w:val="24"/>
          <w:szCs w:val="24"/>
        </w:rPr>
        <w:t xml:space="preserve">Termenul de dezvoltare rurală şi aplicabilitatea acestuia în diferite </w:t>
      </w:r>
      <w:r w:rsidR="009B2AF1" w:rsidRPr="009B2AF1">
        <w:rPr>
          <w:rFonts w:ascii="Times New Roman" w:eastAsia="Calibri" w:hAnsi="Times New Roman" w:cs="Times New Roman"/>
          <w:sz w:val="24"/>
          <w:szCs w:val="24"/>
        </w:rPr>
        <w:t>context</w:t>
      </w:r>
    </w:p>
    <w:p w:rsidR="009B2AF1" w:rsidRDefault="002F3726" w:rsidP="00172E8C">
      <w:pPr>
        <w:pStyle w:val="ColorfulList-Accent11"/>
        <w:numPr>
          <w:ilvl w:val="0"/>
          <w:numId w:val="34"/>
        </w:numPr>
        <w:spacing w:before="0" w:after="0"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B2AF1">
        <w:rPr>
          <w:rFonts w:ascii="Times New Roman" w:eastAsia="Calibri" w:hAnsi="Times New Roman" w:cs="Times New Roman"/>
          <w:sz w:val="24"/>
          <w:szCs w:val="24"/>
        </w:rPr>
        <w:t>Dezvoltare rurală: exemple concrete</w:t>
      </w:r>
    </w:p>
    <w:p w:rsidR="009B2AF1" w:rsidRDefault="002F3726" w:rsidP="00172E8C">
      <w:pPr>
        <w:pStyle w:val="ColorfulList-Accent11"/>
        <w:numPr>
          <w:ilvl w:val="0"/>
          <w:numId w:val="34"/>
        </w:numPr>
        <w:spacing w:before="0" w:after="0"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B2AF1">
        <w:rPr>
          <w:rFonts w:ascii="Times New Roman" w:eastAsia="Calibri" w:hAnsi="Times New Roman" w:cs="Times New Roman"/>
          <w:sz w:val="24"/>
          <w:szCs w:val="24"/>
        </w:rPr>
        <w:t xml:space="preserve">Termenul de dezvoltare regională şi aplicabilitatea acestuia în diferite </w:t>
      </w:r>
      <w:r w:rsidR="009B2AF1">
        <w:rPr>
          <w:rFonts w:ascii="Times New Roman" w:eastAsia="Calibri" w:hAnsi="Times New Roman" w:cs="Times New Roman"/>
          <w:sz w:val="24"/>
          <w:szCs w:val="24"/>
        </w:rPr>
        <w:t>context</w:t>
      </w:r>
    </w:p>
    <w:p w:rsidR="009B2AF1" w:rsidRDefault="002F3726" w:rsidP="00172E8C">
      <w:pPr>
        <w:pStyle w:val="ColorfulList-Accent11"/>
        <w:numPr>
          <w:ilvl w:val="0"/>
          <w:numId w:val="34"/>
        </w:numPr>
        <w:spacing w:before="0" w:after="0"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B2AF1">
        <w:rPr>
          <w:rFonts w:ascii="Times New Roman" w:eastAsia="Calibri" w:hAnsi="Times New Roman" w:cs="Times New Roman"/>
          <w:sz w:val="24"/>
          <w:szCs w:val="24"/>
        </w:rPr>
        <w:t>Dezvoltare regională: exemple concrete</w:t>
      </w:r>
    </w:p>
    <w:p w:rsidR="009B2AF1" w:rsidRDefault="002F3726" w:rsidP="00172E8C">
      <w:pPr>
        <w:pStyle w:val="ColorfulList-Accent11"/>
        <w:numPr>
          <w:ilvl w:val="0"/>
          <w:numId w:val="34"/>
        </w:numPr>
        <w:spacing w:before="0" w:after="0"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B2AF1">
        <w:rPr>
          <w:rFonts w:ascii="Times New Roman" w:eastAsia="Calibri" w:hAnsi="Times New Roman" w:cs="Times New Roman"/>
          <w:sz w:val="24"/>
          <w:szCs w:val="24"/>
        </w:rPr>
        <w:t xml:space="preserve">Termenul de dezvoltare durabilă şi aplicabilitatea acestuia în diferite </w:t>
      </w:r>
      <w:r w:rsidR="009B2AF1">
        <w:rPr>
          <w:rFonts w:ascii="Times New Roman" w:eastAsia="Calibri" w:hAnsi="Times New Roman" w:cs="Times New Roman"/>
          <w:sz w:val="24"/>
          <w:szCs w:val="24"/>
        </w:rPr>
        <w:t>context</w:t>
      </w:r>
    </w:p>
    <w:p w:rsidR="009B2AF1" w:rsidRDefault="002F3726" w:rsidP="00172E8C">
      <w:pPr>
        <w:pStyle w:val="ColorfulList-Accent11"/>
        <w:numPr>
          <w:ilvl w:val="0"/>
          <w:numId w:val="34"/>
        </w:numPr>
        <w:spacing w:before="0" w:after="0"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B2AF1">
        <w:rPr>
          <w:rFonts w:ascii="Times New Roman" w:eastAsia="Calibri" w:hAnsi="Times New Roman" w:cs="Times New Roman"/>
          <w:sz w:val="24"/>
          <w:szCs w:val="24"/>
        </w:rPr>
        <w:t>Dezvoltare durabilă: exemple concrete</w:t>
      </w:r>
    </w:p>
    <w:p w:rsidR="009B2AF1" w:rsidRDefault="002F3726" w:rsidP="00172E8C">
      <w:pPr>
        <w:pStyle w:val="ColorfulList-Accent11"/>
        <w:numPr>
          <w:ilvl w:val="0"/>
          <w:numId w:val="34"/>
        </w:numPr>
        <w:spacing w:before="0" w:after="0"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B2AF1">
        <w:rPr>
          <w:rFonts w:ascii="Times New Roman" w:eastAsia="Calibri" w:hAnsi="Times New Roman" w:cs="Times New Roman"/>
          <w:sz w:val="24"/>
          <w:szCs w:val="24"/>
        </w:rPr>
        <w:t>Cele 17 obiective de dezvoltare durabilă</w:t>
      </w:r>
    </w:p>
    <w:p w:rsidR="009B2AF1" w:rsidRDefault="002F3726" w:rsidP="00172E8C">
      <w:pPr>
        <w:pStyle w:val="ColorfulList-Accent11"/>
        <w:numPr>
          <w:ilvl w:val="0"/>
          <w:numId w:val="34"/>
        </w:numPr>
        <w:spacing w:before="0" w:after="0"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B2AF1">
        <w:rPr>
          <w:rFonts w:ascii="Times New Roman" w:eastAsia="Calibri" w:hAnsi="Times New Roman" w:cs="Times New Roman"/>
          <w:sz w:val="24"/>
          <w:szCs w:val="24"/>
        </w:rPr>
        <w:t>Accesarea fondurilor destinate dezvoltării rurale și modernizării comunităţilor</w:t>
      </w:r>
    </w:p>
    <w:p w:rsidR="00DF1FD6" w:rsidRDefault="002F3726" w:rsidP="00172E8C">
      <w:pPr>
        <w:pStyle w:val="ColorfulList-Accent11"/>
        <w:numPr>
          <w:ilvl w:val="0"/>
          <w:numId w:val="34"/>
        </w:numPr>
        <w:spacing w:before="0" w:after="0"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DF1FD6">
        <w:rPr>
          <w:rFonts w:ascii="Times New Roman" w:eastAsia="Calibri" w:hAnsi="Times New Roman" w:cs="Times New Roman"/>
          <w:sz w:val="24"/>
          <w:szCs w:val="24"/>
        </w:rPr>
        <w:t>Familiarizarea studenţilor cu principiile şi metodologiile pe care se bazează organizarea şi restructurarea spaţiului rural</w:t>
      </w:r>
    </w:p>
    <w:p w:rsidR="00DF1FD6" w:rsidRDefault="002F3726" w:rsidP="00172E8C">
      <w:pPr>
        <w:pStyle w:val="ColorfulList-Accent11"/>
        <w:numPr>
          <w:ilvl w:val="0"/>
          <w:numId w:val="34"/>
        </w:numPr>
        <w:spacing w:before="0" w:after="0"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DF1FD6">
        <w:rPr>
          <w:rFonts w:ascii="Times New Roman" w:eastAsia="Calibri" w:hAnsi="Times New Roman" w:cs="Times New Roman"/>
          <w:sz w:val="24"/>
          <w:szCs w:val="24"/>
        </w:rPr>
        <w:t>Strategii de dezvoltare</w:t>
      </w:r>
    </w:p>
    <w:p w:rsidR="00DF1FD6" w:rsidRDefault="00DF1FD6" w:rsidP="00172E8C">
      <w:pPr>
        <w:pStyle w:val="ColorfulList-Accent11"/>
        <w:numPr>
          <w:ilvl w:val="0"/>
          <w:numId w:val="34"/>
        </w:numPr>
        <w:spacing w:before="0" w:after="0"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DF1FD6">
        <w:rPr>
          <w:rFonts w:ascii="Times New Roman" w:eastAsia="Calibri" w:hAnsi="Times New Roman" w:cs="Times New Roman"/>
          <w:sz w:val="24"/>
          <w:szCs w:val="24"/>
        </w:rPr>
        <w:t>Interacţiunea dintre economie şi mediul natural</w:t>
      </w:r>
    </w:p>
    <w:p w:rsidR="00DF1FD6" w:rsidRDefault="00DF1FD6" w:rsidP="00172E8C">
      <w:pPr>
        <w:pStyle w:val="ColorfulList-Accent11"/>
        <w:numPr>
          <w:ilvl w:val="0"/>
          <w:numId w:val="34"/>
        </w:numPr>
        <w:spacing w:before="0" w:after="0"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DF1FD6">
        <w:rPr>
          <w:rFonts w:ascii="Times New Roman" w:eastAsia="Calibri" w:hAnsi="Times New Roman" w:cs="Times New Roman"/>
          <w:sz w:val="24"/>
          <w:szCs w:val="24"/>
        </w:rPr>
        <w:t>Protocoale privind dezvoltarea durabla şi reducerea impactului GES</w:t>
      </w:r>
    </w:p>
    <w:p w:rsidR="00DF1FD6" w:rsidRDefault="00DF1FD6" w:rsidP="00172E8C">
      <w:pPr>
        <w:pStyle w:val="ColorfulList-Accent11"/>
        <w:numPr>
          <w:ilvl w:val="0"/>
          <w:numId w:val="34"/>
        </w:numPr>
        <w:spacing w:before="0" w:after="0"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DF1FD6">
        <w:rPr>
          <w:rFonts w:ascii="Times New Roman" w:eastAsia="Calibri" w:hAnsi="Times New Roman" w:cs="Times New Roman"/>
          <w:sz w:val="24"/>
          <w:szCs w:val="24"/>
        </w:rPr>
        <w:t>Impactul surselor convenşionale asupra schimbărilor climatice</w:t>
      </w:r>
    </w:p>
    <w:p w:rsidR="00DF1FD6" w:rsidRDefault="00DF1FD6" w:rsidP="00172E8C">
      <w:pPr>
        <w:pStyle w:val="ColorfulList-Accent11"/>
        <w:numPr>
          <w:ilvl w:val="0"/>
          <w:numId w:val="34"/>
        </w:numPr>
        <w:spacing w:before="0" w:after="0"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DF1FD6">
        <w:rPr>
          <w:rFonts w:ascii="Times New Roman" w:eastAsia="Calibri" w:hAnsi="Times New Roman" w:cs="Times New Roman"/>
          <w:sz w:val="24"/>
          <w:szCs w:val="24"/>
        </w:rPr>
        <w:t>Surse RES</w:t>
      </w:r>
    </w:p>
    <w:p w:rsidR="00DF1FD6" w:rsidRDefault="00DF1FD6" w:rsidP="00172E8C">
      <w:pPr>
        <w:pStyle w:val="ColorfulList-Accent11"/>
        <w:numPr>
          <w:ilvl w:val="0"/>
          <w:numId w:val="34"/>
        </w:numPr>
        <w:spacing w:before="0" w:after="0"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DF1FD6">
        <w:rPr>
          <w:rFonts w:ascii="Times New Roman" w:eastAsia="Calibri" w:hAnsi="Times New Roman" w:cs="Times New Roman"/>
          <w:sz w:val="24"/>
          <w:szCs w:val="24"/>
        </w:rPr>
        <w:t xml:space="preserve">Energia Solară </w:t>
      </w:r>
    </w:p>
    <w:p w:rsidR="00DF1FD6" w:rsidRDefault="00DF1FD6" w:rsidP="00172E8C">
      <w:pPr>
        <w:pStyle w:val="ColorfulList-Accent11"/>
        <w:numPr>
          <w:ilvl w:val="0"/>
          <w:numId w:val="34"/>
        </w:numPr>
        <w:spacing w:before="0" w:after="0"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DF1FD6">
        <w:rPr>
          <w:rFonts w:ascii="Times New Roman" w:eastAsia="Calibri" w:hAnsi="Times New Roman" w:cs="Times New Roman"/>
          <w:sz w:val="24"/>
          <w:szCs w:val="24"/>
        </w:rPr>
        <w:t xml:space="preserve">Eoliană, hidroenergia </w:t>
      </w:r>
    </w:p>
    <w:p w:rsidR="007F2B47" w:rsidRDefault="00DF1FD6" w:rsidP="00172E8C">
      <w:pPr>
        <w:pStyle w:val="ColorfulList-Accent11"/>
        <w:numPr>
          <w:ilvl w:val="0"/>
          <w:numId w:val="34"/>
        </w:numPr>
        <w:spacing w:before="0" w:after="0"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7F2B47">
        <w:rPr>
          <w:rFonts w:ascii="Times New Roman" w:eastAsia="Calibri" w:hAnsi="Times New Roman" w:cs="Times New Roman"/>
          <w:sz w:val="24"/>
          <w:szCs w:val="24"/>
        </w:rPr>
        <w:t>Energia produsă de maree, biomasa</w:t>
      </w:r>
    </w:p>
    <w:p w:rsidR="007F2B47" w:rsidRDefault="00DF1FD6" w:rsidP="00172E8C">
      <w:pPr>
        <w:pStyle w:val="ColorfulList-Accent11"/>
        <w:numPr>
          <w:ilvl w:val="0"/>
          <w:numId w:val="34"/>
        </w:numPr>
        <w:spacing w:before="0" w:after="0"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7F2B47">
        <w:rPr>
          <w:rFonts w:ascii="Times New Roman" w:eastAsia="Calibri" w:hAnsi="Times New Roman" w:cs="Times New Roman"/>
          <w:sz w:val="24"/>
          <w:szCs w:val="24"/>
        </w:rPr>
        <w:t>Energia atomică şi cea bazată pe Hidrogen</w:t>
      </w:r>
    </w:p>
    <w:p w:rsidR="007F2B47" w:rsidRDefault="007F2B47" w:rsidP="00172E8C">
      <w:pPr>
        <w:pStyle w:val="ColorfulList-Accent11"/>
        <w:numPr>
          <w:ilvl w:val="0"/>
          <w:numId w:val="34"/>
        </w:numPr>
        <w:spacing w:before="0" w:after="0"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7F2B47">
        <w:rPr>
          <w:rFonts w:ascii="Times New Roman" w:eastAsia="Calibri" w:hAnsi="Times New Roman" w:cs="Times New Roman"/>
          <w:sz w:val="24"/>
          <w:szCs w:val="24"/>
        </w:rPr>
        <w:t xml:space="preserve">Ape mineale: definiţii, istoric, geneză </w:t>
      </w:r>
    </w:p>
    <w:p w:rsidR="007F2B47" w:rsidRDefault="007F2B47" w:rsidP="00172E8C">
      <w:pPr>
        <w:pStyle w:val="ColorfulList-Accent11"/>
        <w:numPr>
          <w:ilvl w:val="0"/>
          <w:numId w:val="34"/>
        </w:numPr>
        <w:spacing w:before="0" w:after="0"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7F2B47">
        <w:rPr>
          <w:rFonts w:ascii="Times New Roman" w:eastAsia="Calibri" w:hAnsi="Times New Roman" w:cs="Times New Roman"/>
          <w:sz w:val="24"/>
          <w:szCs w:val="24"/>
        </w:rPr>
        <w:t xml:space="preserve">Caracteristici hidrogeologice ale apelor minerale </w:t>
      </w:r>
    </w:p>
    <w:p w:rsidR="007F2B47" w:rsidRDefault="007F2B47" w:rsidP="00172E8C">
      <w:pPr>
        <w:pStyle w:val="ColorfulList-Accent11"/>
        <w:numPr>
          <w:ilvl w:val="0"/>
          <w:numId w:val="34"/>
        </w:numPr>
        <w:spacing w:before="0" w:after="0"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7F2B47">
        <w:rPr>
          <w:rFonts w:ascii="Times New Roman" w:eastAsia="Calibri" w:hAnsi="Times New Roman" w:cs="Times New Roman"/>
          <w:sz w:val="24"/>
          <w:szCs w:val="24"/>
        </w:rPr>
        <w:t>Proprietăţile fizico-chimice ale apelor minerale și al gazelor mofetice</w:t>
      </w:r>
    </w:p>
    <w:p w:rsidR="007F2B47" w:rsidRDefault="007F2B47" w:rsidP="00172E8C">
      <w:pPr>
        <w:pStyle w:val="ColorfulList-Accent11"/>
        <w:numPr>
          <w:ilvl w:val="0"/>
          <w:numId w:val="34"/>
        </w:numPr>
        <w:spacing w:before="0" w:after="0"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7F2B47">
        <w:rPr>
          <w:rFonts w:ascii="Times New Roman" w:eastAsia="Calibri" w:hAnsi="Times New Roman" w:cs="Times New Roman"/>
          <w:sz w:val="24"/>
          <w:szCs w:val="24"/>
        </w:rPr>
        <w:lastRenderedPageBreak/>
        <w:t>Microbiologia şi igiena apelor minerale</w:t>
      </w:r>
    </w:p>
    <w:p w:rsidR="007F2B47" w:rsidRDefault="007F2B47" w:rsidP="00172E8C">
      <w:pPr>
        <w:pStyle w:val="ColorfulList-Accent11"/>
        <w:numPr>
          <w:ilvl w:val="0"/>
          <w:numId w:val="34"/>
        </w:numPr>
        <w:spacing w:before="0" w:after="0"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7F2B47">
        <w:rPr>
          <w:rFonts w:ascii="Times New Roman" w:eastAsia="Calibri" w:hAnsi="Times New Roman" w:cs="Times New Roman"/>
          <w:sz w:val="24"/>
          <w:szCs w:val="24"/>
        </w:rPr>
        <w:t>Legislaţia şi standardele privind apele minerale naturale îmbuteliate</w:t>
      </w:r>
    </w:p>
    <w:p w:rsidR="007F2B47" w:rsidRDefault="007F2B47" w:rsidP="00172E8C">
      <w:pPr>
        <w:pStyle w:val="ColorfulList-Accent11"/>
        <w:numPr>
          <w:ilvl w:val="0"/>
          <w:numId w:val="34"/>
        </w:numPr>
        <w:spacing w:before="0" w:after="0"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7F2B47">
        <w:rPr>
          <w:rFonts w:ascii="Times New Roman" w:eastAsia="Calibri" w:hAnsi="Times New Roman" w:cs="Times New Roman"/>
          <w:sz w:val="24"/>
          <w:szCs w:val="24"/>
        </w:rPr>
        <w:t xml:space="preserve">Procese tehnologice privind îmbutelierea apelor minerale: degazare, deferizare, demanganizare, filtrare, saturare, şi îmbuteliere </w:t>
      </w:r>
    </w:p>
    <w:p w:rsidR="007F2B47" w:rsidRPr="007F2B47" w:rsidRDefault="007F2B47" w:rsidP="00172E8C">
      <w:pPr>
        <w:pStyle w:val="ColorfulList-Accent11"/>
        <w:numPr>
          <w:ilvl w:val="0"/>
          <w:numId w:val="34"/>
        </w:numPr>
        <w:spacing w:before="0" w:after="0"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7F2B47">
        <w:rPr>
          <w:rFonts w:ascii="Times New Roman" w:eastAsia="Calibri" w:hAnsi="Times New Roman" w:cs="Times New Roman"/>
          <w:sz w:val="24"/>
          <w:szCs w:val="24"/>
        </w:rPr>
        <w:t>Valorificarea apelor minerale și al gazelor mofetice în scop curativ şi de recreere</w:t>
      </w:r>
    </w:p>
    <w:p w:rsidR="007F2B47" w:rsidRPr="00DF1FD6" w:rsidRDefault="007F2B47" w:rsidP="00172E8C">
      <w:pPr>
        <w:pStyle w:val="ColorfulList-Accent11"/>
        <w:numPr>
          <w:ilvl w:val="0"/>
          <w:numId w:val="34"/>
        </w:numPr>
        <w:spacing w:before="0" w:after="0"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7F2B47">
        <w:rPr>
          <w:rFonts w:ascii="Times New Roman" w:eastAsia="Calibri" w:hAnsi="Times New Roman" w:cs="Times New Roman"/>
          <w:sz w:val="24"/>
          <w:szCs w:val="24"/>
        </w:rPr>
        <w:t>Probleme de protecţia mediului şi monitorizarea fizico-chimică şi microbiologică a tehnologiilor de valorificare (îmbuteliere, utilizare în scop curativ)</w:t>
      </w:r>
    </w:p>
    <w:p w:rsidR="00172E8C" w:rsidRDefault="00172E8C">
      <w:pPr>
        <w:pStyle w:val="ColorfulList-Accent11"/>
        <w:spacing w:before="0" w:after="0" w:line="360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95F18" w:rsidRDefault="00465FFB">
      <w:pPr>
        <w:pStyle w:val="ColorfulList-Accent11"/>
        <w:spacing w:before="0" w:after="0" w:line="360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8A5816">
        <w:rPr>
          <w:rFonts w:ascii="Times New Roman" w:eastAsia="Calibri" w:hAnsi="Times New Roman" w:cs="Times New Roman"/>
          <w:sz w:val="24"/>
          <w:szCs w:val="24"/>
        </w:rPr>
        <w:t>Bibliografie:</w:t>
      </w:r>
    </w:p>
    <w:p w:rsidR="00AC6782" w:rsidRPr="00AC6782" w:rsidRDefault="00AC6782" w:rsidP="009B2AF1">
      <w:pPr>
        <w:pStyle w:val="ColorfulList-Accent11"/>
        <w:numPr>
          <w:ilvl w:val="0"/>
          <w:numId w:val="36"/>
        </w:num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AC6782">
        <w:rPr>
          <w:rFonts w:ascii="Times New Roman" w:eastAsia="Calibri" w:hAnsi="Times New Roman" w:cs="Times New Roman"/>
          <w:sz w:val="24"/>
          <w:szCs w:val="24"/>
        </w:rPr>
        <w:t>Környezet- és Természetvédelmi Lexikon. Akadémiai Kiadó, Budapest 2oo2.</w:t>
      </w:r>
    </w:p>
    <w:p w:rsidR="00AC6782" w:rsidRPr="00AC6782" w:rsidRDefault="00AC6782" w:rsidP="009B2AF1">
      <w:pPr>
        <w:pStyle w:val="ColorfulList-Accent11"/>
        <w:numPr>
          <w:ilvl w:val="0"/>
          <w:numId w:val="36"/>
        </w:num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AC6782">
        <w:rPr>
          <w:rFonts w:ascii="Times New Roman" w:eastAsia="Calibri" w:hAnsi="Times New Roman" w:cs="Times New Roman"/>
          <w:sz w:val="24"/>
          <w:szCs w:val="24"/>
        </w:rPr>
        <w:t>Lányi Szabolcs: Ökológia és környezetvédelem, Egyetemi jegyzet. Sapientia EMTE Könyvtára, Csíkszereda</w:t>
      </w:r>
    </w:p>
    <w:p w:rsidR="00AC6782" w:rsidRPr="00AC6782" w:rsidRDefault="00AC6782" w:rsidP="009B2AF1">
      <w:pPr>
        <w:pStyle w:val="ColorfulList-Accent11"/>
        <w:numPr>
          <w:ilvl w:val="0"/>
          <w:numId w:val="36"/>
        </w:num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AC6782">
        <w:rPr>
          <w:rFonts w:ascii="Times New Roman" w:eastAsia="Calibri" w:hAnsi="Times New Roman" w:cs="Times New Roman"/>
          <w:sz w:val="24"/>
          <w:szCs w:val="24"/>
        </w:rPr>
        <w:t xml:space="preserve">Lányi Szabolcs: Ökológia és környezetvédelem. PPT bemutatók:  http://www.sapientia.siculorum.ro/~lanyiszabolcs/ </w:t>
      </w:r>
    </w:p>
    <w:p w:rsidR="00AC6782" w:rsidRPr="00AC6782" w:rsidRDefault="00AC6782" w:rsidP="009B2AF1">
      <w:pPr>
        <w:pStyle w:val="ColorfulList-Accent11"/>
        <w:numPr>
          <w:ilvl w:val="0"/>
          <w:numId w:val="36"/>
        </w:num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AC6782">
        <w:rPr>
          <w:rFonts w:ascii="Times New Roman" w:eastAsia="Calibri" w:hAnsi="Times New Roman" w:cs="Times New Roman"/>
          <w:sz w:val="24"/>
          <w:szCs w:val="24"/>
        </w:rPr>
        <w:t>Lányi Szabolcs: Ökológia és környezetvédelem. Filmek: http://www.sapientia.siculorum.ro/~lanyiszabolcs/</w:t>
      </w:r>
    </w:p>
    <w:p w:rsidR="00AC6782" w:rsidRPr="00AC6782" w:rsidRDefault="00AC6782" w:rsidP="009B2AF1">
      <w:pPr>
        <w:pStyle w:val="ColorfulList-Accent11"/>
        <w:numPr>
          <w:ilvl w:val="0"/>
          <w:numId w:val="36"/>
        </w:num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AC6782">
        <w:rPr>
          <w:rFonts w:ascii="Times New Roman" w:eastAsia="Calibri" w:hAnsi="Times New Roman" w:cs="Times New Roman"/>
          <w:sz w:val="24"/>
          <w:szCs w:val="24"/>
        </w:rPr>
        <w:t>Botnariuc, N., Vadineanu, A.: Ecologie, Ed. Tehnica, Bucuresti, 1990</w:t>
      </w:r>
    </w:p>
    <w:p w:rsidR="00AC6782" w:rsidRDefault="00AC6782" w:rsidP="009B2AF1">
      <w:pPr>
        <w:pStyle w:val="ColorfulList-Accent11"/>
        <w:numPr>
          <w:ilvl w:val="0"/>
          <w:numId w:val="36"/>
        </w:num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AC6782">
        <w:rPr>
          <w:rFonts w:ascii="Times New Roman" w:eastAsia="Calibri" w:hAnsi="Times New Roman" w:cs="Times New Roman"/>
          <w:sz w:val="24"/>
          <w:szCs w:val="24"/>
        </w:rPr>
        <w:t>Lányi Gy.: Ökológia tényről tényre - Enciklopédia és értelmező szótár, Környezet és fejlődés Kiadó, Budapest, 1998</w:t>
      </w:r>
    </w:p>
    <w:p w:rsidR="00AC6782" w:rsidRPr="00AC6782" w:rsidRDefault="00AC6782" w:rsidP="00DF1FD6">
      <w:pPr>
        <w:pStyle w:val="ColorfulList-Accent11"/>
        <w:numPr>
          <w:ilvl w:val="0"/>
          <w:numId w:val="36"/>
        </w:num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AC6782">
        <w:rPr>
          <w:rFonts w:ascii="Times New Roman" w:eastAsia="Calibri" w:hAnsi="Times New Roman" w:cs="Times New Roman"/>
          <w:sz w:val="24"/>
          <w:szCs w:val="24"/>
        </w:rPr>
        <w:t>Krebs Ch.J.: Ecology: The Experimental Analysis of Distribution and Abundance, 2001</w:t>
      </w:r>
    </w:p>
    <w:p w:rsidR="00AC6782" w:rsidRPr="00AC6782" w:rsidRDefault="00AC6782" w:rsidP="00DF1FD6">
      <w:pPr>
        <w:pStyle w:val="ColorfulList-Accent11"/>
        <w:numPr>
          <w:ilvl w:val="0"/>
          <w:numId w:val="36"/>
        </w:num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AC6782">
        <w:rPr>
          <w:rFonts w:ascii="Times New Roman" w:eastAsia="Calibri" w:hAnsi="Times New Roman" w:cs="Times New Roman"/>
          <w:sz w:val="24"/>
          <w:szCs w:val="24"/>
        </w:rPr>
        <w:t xml:space="preserve">Májer J.: Az ökológia alapjai – Kísérleti tankönyv, Szaktudás kiadó, Budapest, 1994 </w:t>
      </w:r>
    </w:p>
    <w:p w:rsidR="00AC6782" w:rsidRPr="00AC6782" w:rsidRDefault="00AC6782" w:rsidP="00DF1FD6">
      <w:pPr>
        <w:pStyle w:val="ColorfulList-Accent11"/>
        <w:numPr>
          <w:ilvl w:val="0"/>
          <w:numId w:val="36"/>
        </w:num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AC6782">
        <w:rPr>
          <w:rFonts w:ascii="Times New Roman" w:eastAsia="Calibri" w:hAnsi="Times New Roman" w:cs="Times New Roman"/>
          <w:sz w:val="24"/>
          <w:szCs w:val="24"/>
        </w:rPr>
        <w:t>Stugren, B. Ecologie teoretică. Editura Sarmis, Cluj-Napoca. 1994.</w:t>
      </w:r>
    </w:p>
    <w:p w:rsidR="00962625" w:rsidRDefault="00AC6782" w:rsidP="00DF1FD6">
      <w:pPr>
        <w:pStyle w:val="ColorfulList-Accent11"/>
        <w:numPr>
          <w:ilvl w:val="0"/>
          <w:numId w:val="36"/>
        </w:numPr>
        <w:spacing w:before="0" w:after="0"/>
        <w:rPr>
          <w:rFonts w:ascii="Times New Roman" w:eastAsia="Calibri" w:hAnsi="Times New Roman" w:cs="Times New Roman"/>
          <w:sz w:val="24"/>
          <w:szCs w:val="24"/>
        </w:rPr>
      </w:pPr>
      <w:r w:rsidRPr="00AC6782">
        <w:rPr>
          <w:rFonts w:ascii="Times New Roman" w:eastAsia="Calibri" w:hAnsi="Times New Roman" w:cs="Times New Roman"/>
          <w:sz w:val="24"/>
          <w:szCs w:val="24"/>
        </w:rPr>
        <w:t>Wilkinson, R. E. (eds.): Plant-Environment Interactions, Michael Deckler Inc., New York 1994</w:t>
      </w:r>
    </w:p>
    <w:p w:rsidR="009B2AF1" w:rsidRPr="009B2AF1" w:rsidRDefault="009B2AF1" w:rsidP="00DF1FD6">
      <w:pPr>
        <w:pStyle w:val="ColorfulList-Accent11"/>
        <w:numPr>
          <w:ilvl w:val="0"/>
          <w:numId w:val="36"/>
        </w:num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9B2AF1">
        <w:rPr>
          <w:rFonts w:ascii="Times New Roman" w:eastAsia="Calibri" w:hAnsi="Times New Roman" w:cs="Times New Roman"/>
          <w:sz w:val="24"/>
          <w:szCs w:val="24"/>
        </w:rPr>
        <w:t>Strategia Națională pentru Dezvoltarea Durabilă a României – 2018</w:t>
      </w:r>
    </w:p>
    <w:p w:rsidR="009B2AF1" w:rsidRPr="009B2AF1" w:rsidRDefault="009B2AF1" w:rsidP="00DF1FD6">
      <w:pPr>
        <w:pStyle w:val="ColorfulList-Accent11"/>
        <w:numPr>
          <w:ilvl w:val="0"/>
          <w:numId w:val="36"/>
        </w:num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9B2AF1">
        <w:rPr>
          <w:rFonts w:ascii="Times New Roman" w:eastAsia="Calibri" w:hAnsi="Times New Roman" w:cs="Times New Roman"/>
          <w:sz w:val="24"/>
          <w:szCs w:val="24"/>
        </w:rPr>
        <w:t>Programul Național de Dezvoltare Rurală pentru perioada 2014 - 2020</w:t>
      </w:r>
    </w:p>
    <w:p w:rsidR="007F2B47" w:rsidRDefault="009B2AF1" w:rsidP="007F2B47">
      <w:pPr>
        <w:pStyle w:val="ColorfulList-Accent11"/>
        <w:numPr>
          <w:ilvl w:val="0"/>
          <w:numId w:val="36"/>
        </w:num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DF1FD6">
        <w:rPr>
          <w:rFonts w:ascii="Times New Roman" w:eastAsia="Calibri" w:hAnsi="Times New Roman" w:cs="Times New Roman"/>
          <w:sz w:val="24"/>
          <w:szCs w:val="24"/>
        </w:rPr>
        <w:t>Nemzeti Fenntartható Fejlődési Keretstratégia – 2013</w:t>
      </w:r>
    </w:p>
    <w:p w:rsidR="009B2AF1" w:rsidRPr="007F2B47" w:rsidRDefault="009B2AF1" w:rsidP="007F2B47">
      <w:pPr>
        <w:pStyle w:val="ColorfulList-Accent11"/>
        <w:numPr>
          <w:ilvl w:val="0"/>
          <w:numId w:val="36"/>
        </w:num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F2B47">
        <w:rPr>
          <w:rFonts w:ascii="Times New Roman" w:eastAsia="Calibri" w:hAnsi="Times New Roman" w:cs="Times New Roman"/>
          <w:sz w:val="24"/>
          <w:szCs w:val="24"/>
        </w:rPr>
        <w:t>Agenda 2030</w:t>
      </w:r>
    </w:p>
    <w:p w:rsidR="009B2AF1" w:rsidRPr="009B2AF1" w:rsidRDefault="009B2AF1" w:rsidP="00DF1FD6">
      <w:pPr>
        <w:pStyle w:val="ColorfulList-Accent11"/>
        <w:numPr>
          <w:ilvl w:val="0"/>
          <w:numId w:val="36"/>
        </w:num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9B2AF1">
        <w:rPr>
          <w:rFonts w:ascii="Times New Roman" w:eastAsia="Calibri" w:hAnsi="Times New Roman" w:cs="Times New Roman"/>
          <w:sz w:val="24"/>
          <w:szCs w:val="24"/>
        </w:rPr>
        <w:t>Hardi Tamás, 2012. Duna-stratégia és területi fejlődés : a folyó lehetséges szerepe a régió területi fejlődésében. Budapest: Akadémiai Kiadó.</w:t>
      </w:r>
    </w:p>
    <w:p w:rsidR="009B2AF1" w:rsidRPr="009B2AF1" w:rsidRDefault="009B2AF1" w:rsidP="00DF1FD6">
      <w:pPr>
        <w:pStyle w:val="ColorfulList-Accent11"/>
        <w:numPr>
          <w:ilvl w:val="0"/>
          <w:numId w:val="36"/>
        </w:num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9B2AF1">
        <w:rPr>
          <w:rFonts w:ascii="Times New Roman" w:eastAsia="Calibri" w:hAnsi="Times New Roman" w:cs="Times New Roman"/>
          <w:sz w:val="24"/>
          <w:szCs w:val="24"/>
        </w:rPr>
        <w:t>*Vincze Mária, 2000. Régió- és vidékfejlesztés. Kolozsvár: Presa Universitară Clujeană. (1-3.fejezet)</w:t>
      </w:r>
    </w:p>
    <w:p w:rsidR="00DF1FD6" w:rsidRDefault="009B2AF1" w:rsidP="00DF1FD6">
      <w:pPr>
        <w:pStyle w:val="ColorfulList-Accent11"/>
        <w:numPr>
          <w:ilvl w:val="0"/>
          <w:numId w:val="36"/>
        </w:numPr>
        <w:spacing w:before="0" w:after="0"/>
        <w:rPr>
          <w:rFonts w:ascii="Times New Roman" w:eastAsia="Calibri" w:hAnsi="Times New Roman" w:cs="Times New Roman"/>
          <w:sz w:val="24"/>
          <w:szCs w:val="24"/>
        </w:rPr>
      </w:pPr>
      <w:r w:rsidRPr="00DF1FD6">
        <w:rPr>
          <w:rFonts w:ascii="Times New Roman" w:eastAsia="Calibri" w:hAnsi="Times New Roman" w:cs="Times New Roman"/>
          <w:sz w:val="24"/>
          <w:szCs w:val="24"/>
        </w:rPr>
        <w:t>Vincze Mária, 2005. Románia vidékpolitikája felül- és alulnézetből. Pécs: Pécsi Tudományegyetem.</w:t>
      </w:r>
    </w:p>
    <w:p w:rsidR="00DF1FD6" w:rsidRDefault="009B2AF1" w:rsidP="00DF1FD6">
      <w:pPr>
        <w:pStyle w:val="ColorfulList-Accent11"/>
        <w:numPr>
          <w:ilvl w:val="0"/>
          <w:numId w:val="36"/>
        </w:numPr>
        <w:spacing w:before="0" w:after="0"/>
        <w:rPr>
          <w:rFonts w:ascii="Times New Roman" w:eastAsia="Calibri" w:hAnsi="Times New Roman" w:cs="Times New Roman"/>
          <w:sz w:val="24"/>
          <w:szCs w:val="24"/>
        </w:rPr>
      </w:pPr>
      <w:r w:rsidRPr="00DF1FD6">
        <w:rPr>
          <w:rFonts w:ascii="Times New Roman" w:eastAsia="Calibri" w:hAnsi="Times New Roman" w:cs="Times New Roman"/>
          <w:sz w:val="24"/>
          <w:szCs w:val="24"/>
        </w:rPr>
        <w:t>Buday-Sántha Attila, Danka Sándor, Komlósi Éva (szerk.) 2013. Régiók fejlesztése: I., II., III. Kötet</w:t>
      </w:r>
    </w:p>
    <w:p w:rsidR="00DF1FD6" w:rsidRDefault="009B2AF1" w:rsidP="00DF1FD6">
      <w:pPr>
        <w:pStyle w:val="ColorfulList-Accent11"/>
        <w:numPr>
          <w:ilvl w:val="0"/>
          <w:numId w:val="36"/>
        </w:numPr>
        <w:spacing w:before="0" w:after="0"/>
        <w:rPr>
          <w:rFonts w:ascii="Times New Roman" w:eastAsia="Calibri" w:hAnsi="Times New Roman" w:cs="Times New Roman"/>
          <w:sz w:val="24"/>
          <w:szCs w:val="24"/>
        </w:rPr>
      </w:pPr>
      <w:r w:rsidRPr="00DF1FD6">
        <w:rPr>
          <w:rFonts w:ascii="Times New Roman" w:eastAsia="Calibri" w:hAnsi="Times New Roman" w:cs="Times New Roman"/>
          <w:sz w:val="24"/>
          <w:szCs w:val="24"/>
        </w:rPr>
        <w:lastRenderedPageBreak/>
        <w:t>Horváth Alpár 2013. Turizmusfejlesztés Székelyföldön : Hargita megyei szemszögből. Kolozsvár: ISPMN.</w:t>
      </w:r>
    </w:p>
    <w:p w:rsidR="00DF1FD6" w:rsidRDefault="00DF1FD6" w:rsidP="00DF1FD6">
      <w:pPr>
        <w:pStyle w:val="ColorfulList-Accent11"/>
        <w:numPr>
          <w:ilvl w:val="0"/>
          <w:numId w:val="36"/>
        </w:numPr>
        <w:spacing w:before="0" w:after="0"/>
        <w:rPr>
          <w:rFonts w:ascii="Times New Roman" w:eastAsia="Calibri" w:hAnsi="Times New Roman" w:cs="Times New Roman"/>
          <w:sz w:val="24"/>
          <w:szCs w:val="24"/>
        </w:rPr>
      </w:pPr>
      <w:r w:rsidRPr="00DF1FD6">
        <w:rPr>
          <w:rFonts w:ascii="Times New Roman" w:eastAsia="Calibri" w:hAnsi="Times New Roman" w:cs="Times New Roman"/>
          <w:sz w:val="24"/>
          <w:szCs w:val="24"/>
        </w:rPr>
        <w:t xml:space="preserve">Mircea Dulău, Automatizarea proceselor termice si chimice- Universitatea "Petru Maior” Targu Mureş, 2002. </w:t>
      </w:r>
    </w:p>
    <w:p w:rsidR="00DF1FD6" w:rsidRDefault="00DF1FD6" w:rsidP="00DF1FD6">
      <w:pPr>
        <w:pStyle w:val="ColorfulList-Accent11"/>
        <w:numPr>
          <w:ilvl w:val="0"/>
          <w:numId w:val="36"/>
        </w:numPr>
        <w:spacing w:before="0" w:after="0"/>
        <w:rPr>
          <w:rFonts w:ascii="Times New Roman" w:eastAsia="Calibri" w:hAnsi="Times New Roman" w:cs="Times New Roman"/>
          <w:sz w:val="24"/>
          <w:szCs w:val="24"/>
        </w:rPr>
      </w:pPr>
      <w:r w:rsidRPr="00DF1FD6">
        <w:rPr>
          <w:rFonts w:ascii="Times New Roman" w:eastAsia="Calibri" w:hAnsi="Times New Roman" w:cs="Times New Roman"/>
          <w:sz w:val="24"/>
          <w:szCs w:val="24"/>
        </w:rPr>
        <w:t>A. Daneels - What is SCADA -International Conference on Accelerator and Large Experimental Physics Control Systems, 1999, Trieste, Italy</w:t>
      </w:r>
    </w:p>
    <w:p w:rsidR="00DF1FD6" w:rsidRDefault="00DF1FD6" w:rsidP="00DF1FD6">
      <w:pPr>
        <w:pStyle w:val="ColorfulList-Accent11"/>
        <w:numPr>
          <w:ilvl w:val="0"/>
          <w:numId w:val="36"/>
        </w:numPr>
        <w:spacing w:before="0" w:after="0"/>
        <w:rPr>
          <w:rFonts w:ascii="Times New Roman" w:eastAsia="Calibri" w:hAnsi="Times New Roman" w:cs="Times New Roman"/>
          <w:sz w:val="24"/>
          <w:szCs w:val="24"/>
        </w:rPr>
      </w:pPr>
      <w:r w:rsidRPr="00DF1FD6">
        <w:rPr>
          <w:rFonts w:ascii="Times New Roman" w:eastAsia="Calibri" w:hAnsi="Times New Roman" w:cs="Times New Roman"/>
          <w:sz w:val="24"/>
          <w:szCs w:val="24"/>
        </w:rPr>
        <w:t xml:space="preserve">Boldur Barbat - Informatica industriala - Programarea în timp real – Institutul Central pentru Conducere si informatica 1984 </w:t>
      </w:r>
    </w:p>
    <w:p w:rsidR="009B2AF1" w:rsidRPr="00DF1FD6" w:rsidRDefault="00DF1FD6" w:rsidP="00DF1FD6">
      <w:pPr>
        <w:pStyle w:val="ColorfulList-Accent11"/>
        <w:numPr>
          <w:ilvl w:val="0"/>
          <w:numId w:val="36"/>
        </w:numPr>
        <w:spacing w:before="0" w:after="0"/>
        <w:rPr>
          <w:rFonts w:ascii="Times New Roman" w:eastAsia="Calibri" w:hAnsi="Times New Roman" w:cs="Times New Roman"/>
          <w:sz w:val="24"/>
          <w:szCs w:val="24"/>
        </w:rPr>
      </w:pPr>
      <w:r w:rsidRPr="00DF1FD6">
        <w:rPr>
          <w:rFonts w:ascii="Times New Roman" w:eastAsia="Calibri" w:hAnsi="Times New Roman" w:cs="Times New Roman"/>
          <w:sz w:val="24"/>
          <w:szCs w:val="24"/>
        </w:rPr>
        <w:t>Munteanu,R., Tarnovan,I.G., Dragomir,N.D., Popovici,O, Electrotehnica si convertoare energetice. Editura MEDIAMIRA, Cluj-Napoca, România, 1997.</w:t>
      </w:r>
    </w:p>
    <w:p w:rsidR="007F2B47" w:rsidRPr="007F2B47" w:rsidRDefault="007F2B47" w:rsidP="007F2B47">
      <w:pPr>
        <w:pStyle w:val="ColorfulList-Accent11"/>
        <w:numPr>
          <w:ilvl w:val="0"/>
          <w:numId w:val="36"/>
        </w:numPr>
        <w:rPr>
          <w:rFonts w:ascii="Times New Roman" w:eastAsia="Calibri" w:hAnsi="Times New Roman" w:cs="Times New Roman"/>
          <w:sz w:val="24"/>
          <w:szCs w:val="24"/>
        </w:rPr>
      </w:pPr>
      <w:r w:rsidRPr="007F2B47">
        <w:rPr>
          <w:rFonts w:ascii="Times New Roman" w:eastAsia="Calibri" w:hAnsi="Times New Roman" w:cs="Times New Roman"/>
          <w:sz w:val="24"/>
          <w:szCs w:val="24"/>
        </w:rPr>
        <w:t>Adrian, Feru: Ghidul apelor minerale natural. Patronatul APEMIN, Novis SRL, Bucureşti 2012 (http://www.apeleminerale.ro/_res/pdf/Ghidul-Apelor-Minerale_22.08.pdf)</w:t>
      </w:r>
    </w:p>
    <w:p w:rsidR="007F2B47" w:rsidRPr="007F2B47" w:rsidRDefault="007F2B47" w:rsidP="007F2B47">
      <w:pPr>
        <w:pStyle w:val="ColorfulList-Accent11"/>
        <w:numPr>
          <w:ilvl w:val="0"/>
          <w:numId w:val="36"/>
        </w:numPr>
        <w:rPr>
          <w:rFonts w:ascii="Times New Roman" w:eastAsia="Calibri" w:hAnsi="Times New Roman" w:cs="Times New Roman"/>
          <w:sz w:val="24"/>
          <w:szCs w:val="24"/>
        </w:rPr>
      </w:pPr>
      <w:r w:rsidRPr="007F2B47">
        <w:rPr>
          <w:rFonts w:ascii="Times New Roman" w:eastAsia="Calibri" w:hAnsi="Times New Roman" w:cs="Times New Roman"/>
          <w:sz w:val="24"/>
          <w:szCs w:val="24"/>
        </w:rPr>
        <w:t>Borszéki Béla (szerk.): Ásványvizek és gyógyvizek : italként fogyasztott ásványvizek és palackozásuk technológiája. Mezőgazdasági Kiadó, Budapest, 1979.</w:t>
      </w:r>
    </w:p>
    <w:p w:rsidR="007F2B47" w:rsidRPr="007F2B47" w:rsidRDefault="007F2B47" w:rsidP="007F2B47">
      <w:pPr>
        <w:pStyle w:val="ColorfulList-Accent11"/>
        <w:numPr>
          <w:ilvl w:val="0"/>
          <w:numId w:val="36"/>
        </w:numPr>
        <w:rPr>
          <w:rFonts w:ascii="Times New Roman" w:eastAsia="Calibri" w:hAnsi="Times New Roman" w:cs="Times New Roman"/>
          <w:sz w:val="24"/>
          <w:szCs w:val="24"/>
        </w:rPr>
      </w:pPr>
      <w:r w:rsidRPr="007F2B47">
        <w:rPr>
          <w:rFonts w:ascii="Times New Roman" w:eastAsia="Calibri" w:hAnsi="Times New Roman" w:cs="Times New Roman"/>
          <w:sz w:val="24"/>
          <w:szCs w:val="24"/>
        </w:rPr>
        <w:t>Borszéki Béla (szerk.): A Kárpát-medence ásvány- és gyógyvizei. Nagy és Társa Nyomda és Kiadó Kft., Budapest, 2013.</w:t>
      </w:r>
    </w:p>
    <w:p w:rsidR="007F2B47" w:rsidRPr="007F2B47" w:rsidRDefault="007F2B47" w:rsidP="00172E8C">
      <w:pPr>
        <w:pStyle w:val="ColorfulList-Accent11"/>
        <w:numPr>
          <w:ilvl w:val="0"/>
          <w:numId w:val="36"/>
        </w:num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F2B47">
        <w:rPr>
          <w:rFonts w:ascii="Times New Roman" w:eastAsia="Calibri" w:hAnsi="Times New Roman" w:cs="Times New Roman"/>
          <w:sz w:val="24"/>
          <w:szCs w:val="24"/>
        </w:rPr>
        <w:t>Incze Réka, Jánosi Csaba, Kisgyörgy Zoltán, Tatár Márta: Székelyföldi mofettás könyv. Gyógygázok az egészség szolgálatában. Háromszéki Vármegye Kiadó, Sepsiszentgyörgy (Sfântu Gheorghe), 2017.</w:t>
      </w:r>
    </w:p>
    <w:p w:rsidR="007F2B47" w:rsidRPr="007F2B47" w:rsidRDefault="007F2B47" w:rsidP="00172E8C">
      <w:pPr>
        <w:pStyle w:val="ColorfulList-Accent11"/>
        <w:numPr>
          <w:ilvl w:val="0"/>
          <w:numId w:val="36"/>
        </w:num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F2B47">
        <w:rPr>
          <w:rFonts w:ascii="Times New Roman" w:eastAsia="Calibri" w:hAnsi="Times New Roman" w:cs="Times New Roman"/>
          <w:sz w:val="24"/>
          <w:szCs w:val="24"/>
        </w:rPr>
        <w:t>Juhász József: Hidrogeológia. Akadémiai Kiadó, Budapest, 2002.</w:t>
      </w:r>
    </w:p>
    <w:p w:rsidR="007F2B47" w:rsidRPr="007F2B47" w:rsidRDefault="007F2B47" w:rsidP="00172E8C">
      <w:pPr>
        <w:pStyle w:val="ColorfulList-Accent11"/>
        <w:numPr>
          <w:ilvl w:val="0"/>
          <w:numId w:val="36"/>
        </w:num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F2B47">
        <w:rPr>
          <w:rFonts w:ascii="Times New Roman" w:eastAsia="Calibri" w:hAnsi="Times New Roman" w:cs="Times New Roman"/>
          <w:sz w:val="24"/>
          <w:szCs w:val="24"/>
        </w:rPr>
        <w:t xml:space="preserve">Kisgyörgy Zoltán: Románia ásványvizei. Tudományos és Enciklopédiai Könyvkiadó Bukarest, 1978. </w:t>
      </w:r>
    </w:p>
    <w:p w:rsidR="007F2B47" w:rsidRPr="007F2B47" w:rsidRDefault="007F2B47" w:rsidP="00172E8C">
      <w:pPr>
        <w:pStyle w:val="ColorfulList-Accent11"/>
        <w:numPr>
          <w:ilvl w:val="0"/>
          <w:numId w:val="36"/>
        </w:num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F2B47">
        <w:rPr>
          <w:rFonts w:ascii="Times New Roman" w:eastAsia="Calibri" w:hAnsi="Times New Roman" w:cs="Times New Roman"/>
          <w:sz w:val="24"/>
          <w:szCs w:val="24"/>
        </w:rPr>
        <w:t>Kisgyörgy Zoltán: Háromszéki borvizeskönyv. Ásványvizes sokadalom a Kárpát-Kanyarban. Háromszéki Vármegye Kiadó, Sepsiszentgyörgy (Sfântu Gheorghe), 2013.</w:t>
      </w:r>
    </w:p>
    <w:p w:rsidR="007F2B47" w:rsidRPr="007F2B47" w:rsidRDefault="007F2B47" w:rsidP="00172E8C">
      <w:pPr>
        <w:pStyle w:val="ColorfulList-Accent11"/>
        <w:numPr>
          <w:ilvl w:val="0"/>
          <w:numId w:val="36"/>
        </w:num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F2B47">
        <w:rPr>
          <w:rFonts w:ascii="Times New Roman" w:eastAsia="Calibri" w:hAnsi="Times New Roman" w:cs="Times New Roman"/>
          <w:sz w:val="24"/>
          <w:szCs w:val="24"/>
        </w:rPr>
        <w:t>Máthé. I. Liebe, P., Makfalvi, Z.,Székely, G. (edit). A Kárpát-medence Ásványvizei – Nemzetközi Tudományos Konferencia kötetei. (Apele minerale din Regiunea Carpatică. Volumele conferinţei internaţionale: “Apele minerale din Regiunea Carpatică”), Universitatea Sapientia, 2004-2017.</w:t>
      </w:r>
    </w:p>
    <w:p w:rsidR="007F2B47" w:rsidRPr="007F2B47" w:rsidRDefault="007F2B47" w:rsidP="00172E8C">
      <w:pPr>
        <w:pStyle w:val="ColorfulList-Accent11"/>
        <w:numPr>
          <w:ilvl w:val="0"/>
          <w:numId w:val="36"/>
        </w:num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F2B47">
        <w:rPr>
          <w:rFonts w:ascii="Times New Roman" w:eastAsia="Calibri" w:hAnsi="Times New Roman" w:cs="Times New Roman"/>
          <w:sz w:val="24"/>
          <w:szCs w:val="24"/>
        </w:rPr>
        <w:t>Papp Sándor: Bevezetés a környezeti kémiába. Veszprémi Egyetemi Kiadó, Veszprém, 1999.</w:t>
      </w:r>
    </w:p>
    <w:p w:rsidR="007F2B47" w:rsidRPr="007F2B47" w:rsidRDefault="007F2B47" w:rsidP="00172E8C">
      <w:pPr>
        <w:pStyle w:val="ColorfulList-Accent11"/>
        <w:numPr>
          <w:ilvl w:val="0"/>
          <w:numId w:val="36"/>
        </w:num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F2B47">
        <w:rPr>
          <w:rFonts w:ascii="Times New Roman" w:eastAsia="Calibri" w:hAnsi="Times New Roman" w:cs="Times New Roman"/>
          <w:sz w:val="24"/>
          <w:szCs w:val="24"/>
        </w:rPr>
        <w:t>Pásztó Péter: Vízminőségvédelem, vízminőségszabályozás. Veszprémi Egyetemi Kiadó, Veszprém, 2003</w:t>
      </w:r>
    </w:p>
    <w:p w:rsidR="007F2B47" w:rsidRPr="007F2B47" w:rsidRDefault="007F2B47" w:rsidP="00172E8C">
      <w:pPr>
        <w:pStyle w:val="ColorfulList-Accent11"/>
        <w:numPr>
          <w:ilvl w:val="0"/>
          <w:numId w:val="36"/>
        </w:num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F2B47">
        <w:rPr>
          <w:rFonts w:ascii="Times New Roman" w:eastAsia="Calibri" w:hAnsi="Times New Roman" w:cs="Times New Roman"/>
          <w:sz w:val="24"/>
          <w:szCs w:val="24"/>
        </w:rPr>
        <w:t>Pricăjan, Artemiu: Ape minerale de consum alimentar din România. Editura Ştiinţifică şi Enciclopedică Bucureşti, 1979.</w:t>
      </w:r>
    </w:p>
    <w:p w:rsidR="007F2B47" w:rsidRPr="007F2B47" w:rsidRDefault="007F2B47" w:rsidP="00172E8C">
      <w:pPr>
        <w:pStyle w:val="ColorfulList-Accent11"/>
        <w:numPr>
          <w:ilvl w:val="0"/>
          <w:numId w:val="36"/>
        </w:num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F2B47">
        <w:rPr>
          <w:rFonts w:ascii="Times New Roman" w:eastAsia="Calibri" w:hAnsi="Times New Roman" w:cs="Times New Roman"/>
          <w:sz w:val="24"/>
          <w:szCs w:val="24"/>
        </w:rPr>
        <w:t>Stănescu, Rodica: Dinamica poluanţilor în mediu. Printech Bucureşti, 2000.</w:t>
      </w:r>
    </w:p>
    <w:p w:rsidR="00DF1FD6" w:rsidRPr="008A5816" w:rsidRDefault="007F2B47" w:rsidP="00172E8C">
      <w:pPr>
        <w:pStyle w:val="ColorfulList-Accent11"/>
        <w:numPr>
          <w:ilvl w:val="0"/>
          <w:numId w:val="36"/>
        </w:numPr>
        <w:spacing w:before="0" w:after="0"/>
        <w:rPr>
          <w:rFonts w:ascii="Times New Roman" w:eastAsia="Calibri" w:hAnsi="Times New Roman" w:cs="Times New Roman"/>
          <w:sz w:val="24"/>
          <w:szCs w:val="24"/>
        </w:rPr>
      </w:pPr>
      <w:r w:rsidRPr="007F2B47">
        <w:rPr>
          <w:rFonts w:ascii="Times New Roman" w:eastAsia="Calibri" w:hAnsi="Times New Roman" w:cs="Times New Roman"/>
          <w:sz w:val="24"/>
          <w:szCs w:val="24"/>
        </w:rPr>
        <w:t>Vasiliu, Daniela: Monitorizarea mediului. Editura Tehnică, Bucureşti, 2007.</w:t>
      </w:r>
    </w:p>
    <w:sectPr w:rsidR="00DF1FD6" w:rsidRPr="008A5816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434" w:rsidRDefault="00C11434">
      <w:r>
        <w:separator/>
      </w:r>
    </w:p>
  </w:endnote>
  <w:endnote w:type="continuationSeparator" w:id="0">
    <w:p w:rsidR="00C11434" w:rsidRDefault="00C1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F18" w:rsidRDefault="00195F1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434" w:rsidRDefault="00C11434">
      <w:r>
        <w:separator/>
      </w:r>
    </w:p>
  </w:footnote>
  <w:footnote w:type="continuationSeparator" w:id="0">
    <w:p w:rsidR="00C11434" w:rsidRDefault="00C11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F18" w:rsidRDefault="00195F1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3CDF"/>
    <w:multiLevelType w:val="multilevel"/>
    <w:tmpl w:val="03FC54B2"/>
    <w:styleLink w:val="List1"/>
    <w:lvl w:ilvl="0">
      <w:numFmt w:val="bullet"/>
      <w:lvlText w:val="•"/>
      <w:lvlJc w:val="left"/>
      <w:rPr>
        <w:position w:val="0"/>
        <w:shd w:val="clear" w:color="auto" w:fill="FFFFFF"/>
      </w:rPr>
    </w:lvl>
    <w:lvl w:ilvl="1">
      <w:start w:val="1"/>
      <w:numFmt w:val="bullet"/>
      <w:lvlText w:val="o"/>
      <w:lvlJc w:val="left"/>
      <w:rPr>
        <w:position w:val="0"/>
        <w:shd w:val="clear" w:color="auto" w:fill="FFFFFF"/>
      </w:rPr>
    </w:lvl>
    <w:lvl w:ilvl="2">
      <w:start w:val="1"/>
      <w:numFmt w:val="bullet"/>
      <w:lvlText w:val="▪"/>
      <w:lvlJc w:val="left"/>
      <w:rPr>
        <w:position w:val="0"/>
        <w:shd w:val="clear" w:color="auto" w:fill="FFFFFF"/>
      </w:rPr>
    </w:lvl>
    <w:lvl w:ilvl="3">
      <w:start w:val="1"/>
      <w:numFmt w:val="bullet"/>
      <w:lvlText w:val="•"/>
      <w:lvlJc w:val="left"/>
      <w:rPr>
        <w:position w:val="0"/>
        <w:shd w:val="clear" w:color="auto" w:fill="FFFFFF"/>
      </w:rPr>
    </w:lvl>
    <w:lvl w:ilvl="4">
      <w:start w:val="1"/>
      <w:numFmt w:val="bullet"/>
      <w:lvlText w:val="o"/>
      <w:lvlJc w:val="left"/>
      <w:rPr>
        <w:position w:val="0"/>
        <w:shd w:val="clear" w:color="auto" w:fill="FFFFFF"/>
      </w:rPr>
    </w:lvl>
    <w:lvl w:ilvl="5">
      <w:start w:val="1"/>
      <w:numFmt w:val="bullet"/>
      <w:lvlText w:val="▪"/>
      <w:lvlJc w:val="left"/>
      <w:rPr>
        <w:position w:val="0"/>
        <w:shd w:val="clear" w:color="auto" w:fill="FFFFFF"/>
      </w:rPr>
    </w:lvl>
    <w:lvl w:ilvl="6">
      <w:start w:val="1"/>
      <w:numFmt w:val="bullet"/>
      <w:lvlText w:val="•"/>
      <w:lvlJc w:val="left"/>
      <w:rPr>
        <w:position w:val="0"/>
        <w:shd w:val="clear" w:color="auto" w:fill="FFFFFF"/>
      </w:rPr>
    </w:lvl>
    <w:lvl w:ilvl="7">
      <w:start w:val="1"/>
      <w:numFmt w:val="bullet"/>
      <w:lvlText w:val="o"/>
      <w:lvlJc w:val="left"/>
      <w:rPr>
        <w:position w:val="0"/>
        <w:shd w:val="clear" w:color="auto" w:fill="FFFFFF"/>
      </w:rPr>
    </w:lvl>
    <w:lvl w:ilvl="8">
      <w:start w:val="1"/>
      <w:numFmt w:val="bullet"/>
      <w:lvlText w:val="▪"/>
      <w:lvlJc w:val="left"/>
      <w:rPr>
        <w:position w:val="0"/>
        <w:shd w:val="clear" w:color="auto" w:fill="FFFFFF"/>
      </w:rPr>
    </w:lvl>
  </w:abstractNum>
  <w:abstractNum w:abstractNumId="1" w15:restartNumberingAfterBreak="0">
    <w:nsid w:val="09A52A90"/>
    <w:multiLevelType w:val="multilevel"/>
    <w:tmpl w:val="1CA409DA"/>
    <w:styleLink w:val="List6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" w15:restartNumberingAfterBreak="0">
    <w:nsid w:val="0A5931FA"/>
    <w:multiLevelType w:val="multilevel"/>
    <w:tmpl w:val="081C7BF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" w15:restartNumberingAfterBreak="0">
    <w:nsid w:val="0BEE644C"/>
    <w:multiLevelType w:val="multilevel"/>
    <w:tmpl w:val="2DB604D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" w15:restartNumberingAfterBreak="0">
    <w:nsid w:val="0C7A4F94"/>
    <w:multiLevelType w:val="multilevel"/>
    <w:tmpl w:val="6E8EAFC2"/>
    <w:styleLink w:val="List2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" w15:restartNumberingAfterBreak="0">
    <w:nsid w:val="0D802080"/>
    <w:multiLevelType w:val="multilevel"/>
    <w:tmpl w:val="FACAC88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" w15:restartNumberingAfterBreak="0">
    <w:nsid w:val="126438DD"/>
    <w:multiLevelType w:val="multilevel"/>
    <w:tmpl w:val="4878994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" w15:restartNumberingAfterBreak="0">
    <w:nsid w:val="1735723F"/>
    <w:multiLevelType w:val="multilevel"/>
    <w:tmpl w:val="507AD83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" w15:restartNumberingAfterBreak="0">
    <w:nsid w:val="1C7310D6"/>
    <w:multiLevelType w:val="multilevel"/>
    <w:tmpl w:val="3CCA8560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9" w15:restartNumberingAfterBreak="0">
    <w:nsid w:val="1FC8665A"/>
    <w:multiLevelType w:val="multilevel"/>
    <w:tmpl w:val="D36C5E5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0" w15:restartNumberingAfterBreak="0">
    <w:nsid w:val="25E61071"/>
    <w:multiLevelType w:val="hybridMultilevel"/>
    <w:tmpl w:val="CE8205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D15CA"/>
    <w:multiLevelType w:val="multilevel"/>
    <w:tmpl w:val="59B83D70"/>
    <w:styleLink w:val="List4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2" w15:restartNumberingAfterBreak="0">
    <w:nsid w:val="2BA465D6"/>
    <w:multiLevelType w:val="multilevel"/>
    <w:tmpl w:val="05F84046"/>
    <w:styleLink w:val="List10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3" w15:restartNumberingAfterBreak="0">
    <w:nsid w:val="2CF27355"/>
    <w:multiLevelType w:val="multilevel"/>
    <w:tmpl w:val="BB2C3C70"/>
    <w:styleLink w:val="List9"/>
    <w:lvl w:ilvl="0"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14" w15:restartNumberingAfterBreak="0">
    <w:nsid w:val="3137535A"/>
    <w:multiLevelType w:val="multilevel"/>
    <w:tmpl w:val="B740B6E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5" w15:restartNumberingAfterBreak="0">
    <w:nsid w:val="327B60D6"/>
    <w:multiLevelType w:val="multilevel"/>
    <w:tmpl w:val="624EDC4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6" w15:restartNumberingAfterBreak="0">
    <w:nsid w:val="332544AA"/>
    <w:multiLevelType w:val="multilevel"/>
    <w:tmpl w:val="CCCA04FE"/>
    <w:styleLink w:val="List0"/>
    <w:lvl w:ilvl="0">
      <w:start w:val="1"/>
      <w:numFmt w:val="decimal"/>
      <w:lvlText w:val="%1."/>
      <w:lvlJc w:val="left"/>
      <w:rPr>
        <w:rFonts w:ascii="Calibri" w:eastAsia="Calibri" w:hAnsi="Calibri" w:cs="Calibri"/>
        <w:position w:val="0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position w:val="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position w:val="0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position w:val="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position w:val="0"/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position w:val="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position w:val="0"/>
      </w:rPr>
    </w:lvl>
  </w:abstractNum>
  <w:abstractNum w:abstractNumId="17" w15:restartNumberingAfterBreak="0">
    <w:nsid w:val="3EC425A5"/>
    <w:multiLevelType w:val="hybridMultilevel"/>
    <w:tmpl w:val="AAE8F04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6624CEAC">
      <w:start w:val="1"/>
      <w:numFmt w:val="decimal"/>
      <w:lvlText w:val="%2."/>
      <w:lvlJc w:val="left"/>
      <w:pPr>
        <w:ind w:left="1260" w:hanging="54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060707"/>
    <w:multiLevelType w:val="multilevel"/>
    <w:tmpl w:val="6ED41EE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9" w15:restartNumberingAfterBreak="0">
    <w:nsid w:val="4C8675AD"/>
    <w:multiLevelType w:val="multilevel"/>
    <w:tmpl w:val="6CB8615E"/>
    <w:styleLink w:val="List7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0" w15:restartNumberingAfterBreak="0">
    <w:nsid w:val="4E571541"/>
    <w:multiLevelType w:val="multilevel"/>
    <w:tmpl w:val="3E48BFC2"/>
    <w:styleLink w:val="List5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1" w15:restartNumberingAfterBreak="0">
    <w:nsid w:val="4FC91A7E"/>
    <w:multiLevelType w:val="multilevel"/>
    <w:tmpl w:val="269A4F86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22" w15:restartNumberingAfterBreak="0">
    <w:nsid w:val="54784CFC"/>
    <w:multiLevelType w:val="multilevel"/>
    <w:tmpl w:val="37AACE9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3" w15:restartNumberingAfterBreak="0">
    <w:nsid w:val="54BC7450"/>
    <w:multiLevelType w:val="multilevel"/>
    <w:tmpl w:val="03344F8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4" w15:restartNumberingAfterBreak="0">
    <w:nsid w:val="5D765091"/>
    <w:multiLevelType w:val="multilevel"/>
    <w:tmpl w:val="3F1A2CD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5" w15:restartNumberingAfterBreak="0">
    <w:nsid w:val="672A0C29"/>
    <w:multiLevelType w:val="multilevel"/>
    <w:tmpl w:val="51EE950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6" w15:restartNumberingAfterBreak="0">
    <w:nsid w:val="695537EB"/>
    <w:multiLevelType w:val="multilevel"/>
    <w:tmpl w:val="E1922BB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7" w15:restartNumberingAfterBreak="0">
    <w:nsid w:val="69D60FB3"/>
    <w:multiLevelType w:val="multilevel"/>
    <w:tmpl w:val="D8A83D8C"/>
    <w:styleLink w:val="List8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8" w15:restartNumberingAfterBreak="0">
    <w:nsid w:val="6AA5793D"/>
    <w:multiLevelType w:val="multilevel"/>
    <w:tmpl w:val="CAF009B4"/>
    <w:lvl w:ilvl="0">
      <w:start w:val="1"/>
      <w:numFmt w:val="decimal"/>
      <w:lvlText w:val="%1."/>
      <w:lvlJc w:val="left"/>
      <w:rPr>
        <w:rFonts w:ascii="Calibri" w:eastAsia="Calibri" w:hAnsi="Calibri" w:cs="Calibri"/>
        <w:position w:val="0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position w:val="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position w:val="0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position w:val="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position w:val="0"/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position w:val="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position w:val="0"/>
      </w:rPr>
    </w:lvl>
  </w:abstractNum>
  <w:abstractNum w:abstractNumId="29" w15:restartNumberingAfterBreak="0">
    <w:nsid w:val="6B4F144D"/>
    <w:multiLevelType w:val="hybridMultilevel"/>
    <w:tmpl w:val="128A79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F5450"/>
    <w:multiLevelType w:val="multilevel"/>
    <w:tmpl w:val="A9C4724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1" w15:restartNumberingAfterBreak="0">
    <w:nsid w:val="78650A39"/>
    <w:multiLevelType w:val="multilevel"/>
    <w:tmpl w:val="9FF86F9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2" w15:restartNumberingAfterBreak="0">
    <w:nsid w:val="79DA7480"/>
    <w:multiLevelType w:val="multilevel"/>
    <w:tmpl w:val="6AE6535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3" w15:restartNumberingAfterBreak="0">
    <w:nsid w:val="7AE0406E"/>
    <w:multiLevelType w:val="multilevel"/>
    <w:tmpl w:val="E8B4FFB2"/>
    <w:styleLink w:val="List3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4" w15:restartNumberingAfterBreak="0">
    <w:nsid w:val="7D3F2A69"/>
    <w:multiLevelType w:val="multilevel"/>
    <w:tmpl w:val="85E4F8D8"/>
    <w:lvl w:ilvl="0">
      <w:start w:val="1"/>
      <w:numFmt w:val="bullet"/>
      <w:lvlText w:val="•"/>
      <w:lvlJc w:val="left"/>
      <w:rPr>
        <w:position w:val="0"/>
        <w:shd w:val="clear" w:color="auto" w:fill="FFFFFF"/>
      </w:rPr>
    </w:lvl>
    <w:lvl w:ilvl="1">
      <w:start w:val="1"/>
      <w:numFmt w:val="bullet"/>
      <w:lvlText w:val="o"/>
      <w:lvlJc w:val="left"/>
      <w:rPr>
        <w:position w:val="0"/>
        <w:shd w:val="clear" w:color="auto" w:fill="FFFFFF"/>
      </w:rPr>
    </w:lvl>
    <w:lvl w:ilvl="2">
      <w:start w:val="1"/>
      <w:numFmt w:val="bullet"/>
      <w:lvlText w:val="▪"/>
      <w:lvlJc w:val="left"/>
      <w:rPr>
        <w:position w:val="0"/>
        <w:shd w:val="clear" w:color="auto" w:fill="FFFFFF"/>
      </w:rPr>
    </w:lvl>
    <w:lvl w:ilvl="3">
      <w:start w:val="1"/>
      <w:numFmt w:val="bullet"/>
      <w:lvlText w:val="•"/>
      <w:lvlJc w:val="left"/>
      <w:rPr>
        <w:position w:val="0"/>
        <w:shd w:val="clear" w:color="auto" w:fill="FFFFFF"/>
      </w:rPr>
    </w:lvl>
    <w:lvl w:ilvl="4">
      <w:start w:val="1"/>
      <w:numFmt w:val="bullet"/>
      <w:lvlText w:val="o"/>
      <w:lvlJc w:val="left"/>
      <w:rPr>
        <w:position w:val="0"/>
        <w:shd w:val="clear" w:color="auto" w:fill="FFFFFF"/>
      </w:rPr>
    </w:lvl>
    <w:lvl w:ilvl="5">
      <w:start w:val="1"/>
      <w:numFmt w:val="bullet"/>
      <w:lvlText w:val="▪"/>
      <w:lvlJc w:val="left"/>
      <w:rPr>
        <w:position w:val="0"/>
        <w:shd w:val="clear" w:color="auto" w:fill="FFFFFF"/>
      </w:rPr>
    </w:lvl>
    <w:lvl w:ilvl="6">
      <w:start w:val="1"/>
      <w:numFmt w:val="bullet"/>
      <w:lvlText w:val="•"/>
      <w:lvlJc w:val="left"/>
      <w:rPr>
        <w:position w:val="0"/>
        <w:shd w:val="clear" w:color="auto" w:fill="FFFFFF"/>
      </w:rPr>
    </w:lvl>
    <w:lvl w:ilvl="7">
      <w:start w:val="1"/>
      <w:numFmt w:val="bullet"/>
      <w:lvlText w:val="o"/>
      <w:lvlJc w:val="left"/>
      <w:rPr>
        <w:position w:val="0"/>
        <w:shd w:val="clear" w:color="auto" w:fill="FFFFFF"/>
      </w:rPr>
    </w:lvl>
    <w:lvl w:ilvl="8">
      <w:start w:val="1"/>
      <w:numFmt w:val="bullet"/>
      <w:lvlText w:val="▪"/>
      <w:lvlJc w:val="left"/>
      <w:rPr>
        <w:position w:val="0"/>
        <w:shd w:val="clear" w:color="auto" w:fill="FFFFFF"/>
      </w:rPr>
    </w:lvl>
  </w:abstractNum>
  <w:abstractNum w:abstractNumId="35" w15:restartNumberingAfterBreak="0">
    <w:nsid w:val="7FB211A8"/>
    <w:multiLevelType w:val="multilevel"/>
    <w:tmpl w:val="2A34677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>
    <w:abstractNumId w:val="28"/>
  </w:num>
  <w:num w:numId="2">
    <w:abstractNumId w:val="22"/>
  </w:num>
  <w:num w:numId="3">
    <w:abstractNumId w:val="16"/>
  </w:num>
  <w:num w:numId="4">
    <w:abstractNumId w:val="34"/>
  </w:num>
  <w:num w:numId="5">
    <w:abstractNumId w:val="35"/>
  </w:num>
  <w:num w:numId="6">
    <w:abstractNumId w:val="0"/>
  </w:num>
  <w:num w:numId="7">
    <w:abstractNumId w:val="23"/>
  </w:num>
  <w:num w:numId="8">
    <w:abstractNumId w:val="15"/>
  </w:num>
  <w:num w:numId="9">
    <w:abstractNumId w:val="4"/>
  </w:num>
  <w:num w:numId="10">
    <w:abstractNumId w:val="3"/>
  </w:num>
  <w:num w:numId="11">
    <w:abstractNumId w:val="5"/>
  </w:num>
  <w:num w:numId="12">
    <w:abstractNumId w:val="33"/>
  </w:num>
  <w:num w:numId="13">
    <w:abstractNumId w:val="30"/>
  </w:num>
  <w:num w:numId="14">
    <w:abstractNumId w:val="26"/>
  </w:num>
  <w:num w:numId="15">
    <w:abstractNumId w:val="11"/>
  </w:num>
  <w:num w:numId="16">
    <w:abstractNumId w:val="14"/>
  </w:num>
  <w:num w:numId="17">
    <w:abstractNumId w:val="18"/>
  </w:num>
  <w:num w:numId="18">
    <w:abstractNumId w:val="20"/>
  </w:num>
  <w:num w:numId="19">
    <w:abstractNumId w:val="2"/>
  </w:num>
  <w:num w:numId="20">
    <w:abstractNumId w:val="9"/>
  </w:num>
  <w:num w:numId="21">
    <w:abstractNumId w:val="1"/>
  </w:num>
  <w:num w:numId="22">
    <w:abstractNumId w:val="7"/>
  </w:num>
  <w:num w:numId="23">
    <w:abstractNumId w:val="31"/>
  </w:num>
  <w:num w:numId="24">
    <w:abstractNumId w:val="19"/>
  </w:num>
  <w:num w:numId="25">
    <w:abstractNumId w:val="25"/>
  </w:num>
  <w:num w:numId="26">
    <w:abstractNumId w:val="24"/>
  </w:num>
  <w:num w:numId="27">
    <w:abstractNumId w:val="27"/>
  </w:num>
  <w:num w:numId="28">
    <w:abstractNumId w:val="21"/>
  </w:num>
  <w:num w:numId="29">
    <w:abstractNumId w:val="8"/>
  </w:num>
  <w:num w:numId="30">
    <w:abstractNumId w:val="13"/>
  </w:num>
  <w:num w:numId="31">
    <w:abstractNumId w:val="32"/>
  </w:num>
  <w:num w:numId="32">
    <w:abstractNumId w:val="6"/>
  </w:num>
  <w:num w:numId="33">
    <w:abstractNumId w:val="12"/>
  </w:num>
  <w:num w:numId="34">
    <w:abstractNumId w:val="17"/>
  </w:num>
  <w:num w:numId="35">
    <w:abstractNumId w:val="29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18"/>
    <w:rsid w:val="00172E8C"/>
    <w:rsid w:val="00195F18"/>
    <w:rsid w:val="002D1451"/>
    <w:rsid w:val="002E6888"/>
    <w:rsid w:val="002F3726"/>
    <w:rsid w:val="00465FFB"/>
    <w:rsid w:val="007F2B47"/>
    <w:rsid w:val="00862942"/>
    <w:rsid w:val="008A5816"/>
    <w:rsid w:val="00962625"/>
    <w:rsid w:val="009B2AF1"/>
    <w:rsid w:val="00AC6782"/>
    <w:rsid w:val="00C11434"/>
    <w:rsid w:val="00DF1FD6"/>
    <w:rsid w:val="00E6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1532"/>
  <w15:docId w15:val="{761800C8-13DE-4EE1-B43D-F70E4BCE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4">
    <w:name w:val="heading 4"/>
    <w:pPr>
      <w:outlineLvl w:val="3"/>
    </w:pPr>
    <w:rPr>
      <w:rFonts w:ascii="Cambria" w:eastAsia="Cambria" w:hAnsi="Cambria" w:cs="Cambria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ColorfulList-Accent11">
    <w:name w:val="Colorful List - Accent 11"/>
    <w:pPr>
      <w:spacing w:before="240" w:after="120"/>
      <w:ind w:left="720" w:firstLine="187"/>
      <w:jc w:val="both"/>
    </w:pPr>
    <w:rPr>
      <w:rFonts w:ascii="Cambria" w:eastAsia="Cambria" w:hAnsi="Cambria" w:cs="Cambria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character" w:customStyle="1" w:styleId="None">
    <w:name w:val="None"/>
  </w:style>
  <w:style w:type="character" w:customStyle="1" w:styleId="Hyperlink0">
    <w:name w:val="Hyperlink.0"/>
    <w:basedOn w:val="None"/>
    <w:rPr>
      <w:shd w:val="clear" w:color="auto" w:fill="FFFFFF"/>
    </w:rPr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character" w:customStyle="1" w:styleId="Hyperlink1">
    <w:name w:val="Hyperlink.1"/>
    <w:basedOn w:val="None"/>
  </w:style>
  <w:style w:type="numbering" w:customStyle="1" w:styleId="List41">
    <w:name w:val="List 41"/>
    <w:basedOn w:val="ImportedStyle5"/>
    <w:pPr>
      <w:numPr>
        <w:numId w:val="15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18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21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24"/>
      </w:numPr>
    </w:pPr>
  </w:style>
  <w:style w:type="numbering" w:customStyle="1" w:styleId="ImportedStyle8">
    <w:name w:val="Imported Style 8"/>
  </w:style>
  <w:style w:type="character" w:customStyle="1" w:styleId="Hyperlink2">
    <w:name w:val="Hyperlink.2"/>
    <w:basedOn w:val="None"/>
  </w:style>
  <w:style w:type="numbering" w:customStyle="1" w:styleId="List8">
    <w:name w:val="List 8"/>
    <w:basedOn w:val="ImportedStyle9"/>
    <w:pPr>
      <w:numPr>
        <w:numId w:val="27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3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33"/>
      </w:numPr>
    </w:pPr>
  </w:style>
  <w:style w:type="numbering" w:customStyle="1" w:styleId="ImportedStyle11">
    <w:name w:val="Imported Style 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742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Tanszek</cp:lastModifiedBy>
  <cp:revision>6</cp:revision>
  <dcterms:created xsi:type="dcterms:W3CDTF">2016-10-24T12:07:00Z</dcterms:created>
  <dcterms:modified xsi:type="dcterms:W3CDTF">2019-02-08T10:10:00Z</dcterms:modified>
</cp:coreProperties>
</file>