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2344" w14:textId="3CDE723C" w:rsidR="00FC4B34" w:rsidRPr="00FC4B34" w:rsidRDefault="00FC4B34" w:rsidP="00FC4B34">
      <w:pPr>
        <w:pStyle w:val="BodyText"/>
        <w:spacing w:before="93" w:line="343" w:lineRule="auto"/>
        <w:ind w:left="0" w:right="-90" w:firstLine="180"/>
        <w:jc w:val="right"/>
        <w:rPr>
          <w:rFonts w:ascii="Verdana" w:hAnsi="Verdana"/>
          <w:i/>
          <w:iCs/>
          <w:color w:val="333333"/>
          <w:sz w:val="20"/>
          <w:szCs w:val="20"/>
        </w:rPr>
      </w:pPr>
      <w:r w:rsidRPr="00FC4B34">
        <w:rPr>
          <w:rFonts w:ascii="Verdana" w:hAnsi="Verdana"/>
          <w:i/>
          <w:iCs/>
          <w:color w:val="333333"/>
          <w:sz w:val="20"/>
          <w:szCs w:val="20"/>
        </w:rPr>
        <w:t>Formular 5</w:t>
      </w:r>
    </w:p>
    <w:p w14:paraId="076C6DF9" w14:textId="6FAF562F" w:rsidR="00B474B8" w:rsidRPr="00C84B15" w:rsidRDefault="004E219A" w:rsidP="00057C49">
      <w:pPr>
        <w:pStyle w:val="BodyText"/>
        <w:spacing w:before="93" w:line="343" w:lineRule="auto"/>
        <w:ind w:left="0" w:right="-90" w:firstLine="180"/>
        <w:jc w:val="lef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</w:t>
      </w:r>
      <w:r w:rsidRPr="00FF218B">
        <w:rPr>
          <w:rFonts w:ascii="Verdana" w:hAnsi="Verdana"/>
          <w:color w:val="333333"/>
          <w:sz w:val="20"/>
          <w:szCs w:val="20"/>
        </w:rPr>
        <w:t>fertant</w:t>
      </w:r>
    </w:p>
    <w:p w14:paraId="65C3AF4A" w14:textId="77777777" w:rsidR="00B474B8" w:rsidRPr="00C84B15" w:rsidRDefault="00B474B8" w:rsidP="00057C49">
      <w:pPr>
        <w:pStyle w:val="BodyText"/>
        <w:ind w:right="-90" w:hanging="184"/>
        <w:rPr>
          <w:rFonts w:ascii="Verdana" w:hAnsi="Verdana"/>
          <w:color w:val="333333"/>
          <w:sz w:val="20"/>
          <w:szCs w:val="20"/>
        </w:rPr>
      </w:pPr>
      <w:r w:rsidRPr="00FF218B">
        <w:rPr>
          <w:rFonts w:ascii="Verdana" w:hAnsi="Verdana"/>
          <w:color w:val="333333"/>
          <w:sz w:val="20"/>
          <w:szCs w:val="20"/>
        </w:rPr>
        <w:t>(denumirea, codul de înregistrare fiscală, adresa)</w:t>
      </w:r>
    </w:p>
    <w:p w14:paraId="1F288ED0" w14:textId="77777777" w:rsidR="00B474B8" w:rsidRPr="00FF218B" w:rsidRDefault="00B474B8" w:rsidP="00057C49">
      <w:pPr>
        <w:pStyle w:val="BodyText"/>
        <w:spacing w:before="0"/>
        <w:ind w:left="0" w:right="-90"/>
        <w:jc w:val="left"/>
        <w:rPr>
          <w:rFonts w:ascii="Verdana" w:hAnsi="Verdana"/>
          <w:sz w:val="20"/>
          <w:szCs w:val="20"/>
        </w:rPr>
      </w:pPr>
    </w:p>
    <w:p w14:paraId="5A9FC5F2" w14:textId="446DC944" w:rsidR="00B474B8" w:rsidRPr="00B474B8" w:rsidRDefault="00FC4B34" w:rsidP="00057C49">
      <w:pPr>
        <w:pStyle w:val="Heading1"/>
        <w:spacing w:before="150"/>
        <w:ind w:left="664" w:right="-90"/>
        <w:jc w:val="center"/>
        <w:rPr>
          <w:rFonts w:ascii="Verdana" w:hAnsi="Verdana"/>
          <w:b/>
          <w:bCs/>
          <w:sz w:val="20"/>
          <w:szCs w:val="20"/>
        </w:rPr>
      </w:pPr>
      <w:r w:rsidRPr="00B474B8">
        <w:rPr>
          <w:rFonts w:ascii="Verdana" w:hAnsi="Verdana"/>
          <w:b/>
          <w:bCs/>
          <w:color w:val="auto"/>
          <w:sz w:val="20"/>
          <w:szCs w:val="20"/>
        </w:rPr>
        <w:t>Declarație</w:t>
      </w:r>
    </w:p>
    <w:p w14:paraId="5E06AA37" w14:textId="115C8BBF" w:rsidR="00B474B8" w:rsidRPr="00C84B15" w:rsidRDefault="00B474B8" w:rsidP="00057C49">
      <w:pPr>
        <w:spacing w:before="103"/>
        <w:ind w:left="664" w:right="-90"/>
        <w:jc w:val="center"/>
        <w:rPr>
          <w:rFonts w:ascii="Verdana" w:hAnsi="Verdana"/>
          <w:sz w:val="20"/>
          <w:szCs w:val="20"/>
        </w:rPr>
      </w:pPr>
      <w:r w:rsidRPr="00C84B15">
        <w:rPr>
          <w:rFonts w:ascii="Verdana" w:hAnsi="Verdana"/>
          <w:sz w:val="20"/>
          <w:szCs w:val="20"/>
        </w:rPr>
        <w:t>privind evitarea dublei finanțări în obținerea şi utilizarea fondurilor externe nerambursabile şi</w:t>
      </w:r>
      <w:r>
        <w:rPr>
          <w:rFonts w:ascii="Verdana" w:hAnsi="Verdana"/>
          <w:sz w:val="20"/>
          <w:szCs w:val="20"/>
        </w:rPr>
        <w:t xml:space="preserve"> </w:t>
      </w:r>
      <w:r w:rsidRPr="00C84B15">
        <w:rPr>
          <w:rFonts w:ascii="Verdana" w:hAnsi="Verdana"/>
          <w:sz w:val="20"/>
          <w:szCs w:val="20"/>
        </w:rPr>
        <w:t xml:space="preserve">rambursabile aferente Mecanismului de redresare şi reziliență, prin Planul </w:t>
      </w:r>
      <w:r w:rsidR="00012420">
        <w:rPr>
          <w:rFonts w:ascii="Verdana" w:hAnsi="Verdana"/>
          <w:sz w:val="20"/>
          <w:szCs w:val="20"/>
        </w:rPr>
        <w:t>N</w:t>
      </w:r>
      <w:r w:rsidRPr="00C84B15">
        <w:rPr>
          <w:rFonts w:ascii="Verdana" w:hAnsi="Verdana"/>
          <w:sz w:val="20"/>
          <w:szCs w:val="20"/>
        </w:rPr>
        <w:t xml:space="preserve">ațional de </w:t>
      </w:r>
      <w:r w:rsidR="00012420">
        <w:rPr>
          <w:rFonts w:ascii="Verdana" w:hAnsi="Verdana"/>
          <w:sz w:val="20"/>
          <w:szCs w:val="20"/>
        </w:rPr>
        <w:t>R</w:t>
      </w:r>
      <w:r w:rsidRPr="00C84B15">
        <w:rPr>
          <w:rFonts w:ascii="Verdana" w:hAnsi="Verdana"/>
          <w:sz w:val="20"/>
          <w:szCs w:val="20"/>
        </w:rPr>
        <w:t xml:space="preserve">edresare şi </w:t>
      </w:r>
      <w:r w:rsidR="00012420">
        <w:rPr>
          <w:rFonts w:ascii="Verdana" w:hAnsi="Verdana"/>
          <w:sz w:val="20"/>
          <w:szCs w:val="20"/>
        </w:rPr>
        <w:t>R</w:t>
      </w:r>
      <w:r w:rsidRPr="00C84B15">
        <w:rPr>
          <w:rFonts w:ascii="Verdana" w:hAnsi="Verdana"/>
          <w:sz w:val="20"/>
          <w:szCs w:val="20"/>
        </w:rPr>
        <w:t>eziliență</w:t>
      </w:r>
    </w:p>
    <w:p w14:paraId="40BCDB51" w14:textId="77777777" w:rsidR="00B474B8" w:rsidRPr="00FF218B" w:rsidRDefault="00B474B8" w:rsidP="00057C49">
      <w:pPr>
        <w:spacing w:before="103" w:line="343" w:lineRule="auto"/>
        <w:ind w:left="664" w:right="-90"/>
        <w:jc w:val="center"/>
        <w:rPr>
          <w:rFonts w:ascii="Verdana" w:hAnsi="Verdana"/>
          <w:b/>
          <w:sz w:val="20"/>
          <w:szCs w:val="20"/>
        </w:rPr>
      </w:pPr>
    </w:p>
    <w:p w14:paraId="28369C60" w14:textId="74A87183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 w:rsidRPr="00FF218B">
        <w:rPr>
          <w:rFonts w:ascii="Verdana" w:hAnsi="Verdana"/>
          <w:color w:val="333333"/>
          <w:sz w:val="20"/>
          <w:szCs w:val="20"/>
        </w:rPr>
        <w:t xml:space="preserve">Subsemnatul (a),.........., posesor/posesoare al/a CI/BI seria.......... nr..........., eliberat (ă) de.........., în calitate de reprezentant legal al.........., cu sediul social în.........., cod de înregistrare fiscală.........., referitor la procedura de </w:t>
      </w:r>
      <w:r w:rsidRPr="006A2303">
        <w:rPr>
          <w:rFonts w:ascii="Verdana" w:hAnsi="Verdana"/>
          <w:color w:val="333333"/>
          <w:sz w:val="20"/>
          <w:szCs w:val="20"/>
        </w:rPr>
        <w:t>achiziție</w:t>
      </w:r>
      <w:r w:rsidRPr="006A2303">
        <w:t xml:space="preserve"> „</w:t>
      </w:r>
      <w:r w:rsidR="004E219A" w:rsidRPr="004E219A">
        <w:rPr>
          <w:rFonts w:ascii="Verdana" w:hAnsi="Verdana"/>
          <w:color w:val="333333"/>
          <w:sz w:val="20"/>
          <w:szCs w:val="20"/>
        </w:rPr>
        <w:t>Achiziționare diverse echipamente și software – Etapa II</w:t>
      </w:r>
      <w:r w:rsidRPr="006A2303">
        <w:rPr>
          <w:rFonts w:ascii="Verdana" w:hAnsi="Verdana"/>
          <w:color w:val="333333"/>
          <w:sz w:val="20"/>
          <w:szCs w:val="20"/>
          <w:lang w:val="en-US"/>
        </w:rPr>
        <w:t>”</w:t>
      </w:r>
      <w:r w:rsidRPr="006A2303">
        <w:rPr>
          <w:rFonts w:ascii="Verdana" w:hAnsi="Verdana"/>
          <w:color w:val="333333"/>
          <w:sz w:val="20"/>
          <w:szCs w:val="20"/>
        </w:rPr>
        <w:t>, derulată de către</w:t>
      </w:r>
      <w:r w:rsidR="00A66793" w:rsidRPr="006A2303">
        <w:rPr>
          <w:rFonts w:ascii="Verdana" w:hAnsi="Verdana"/>
          <w:color w:val="333333"/>
          <w:sz w:val="20"/>
          <w:szCs w:val="20"/>
        </w:rPr>
        <w:t xml:space="preserve"> Universitatea Sapientia</w:t>
      </w:r>
      <w:r w:rsidRPr="006A2303">
        <w:rPr>
          <w:rFonts w:ascii="Verdana" w:hAnsi="Verdana"/>
          <w:color w:val="333333"/>
          <w:sz w:val="20"/>
          <w:szCs w:val="20"/>
        </w:rPr>
        <w:t>, ca urmare a apelului de proiecte</w:t>
      </w:r>
      <w:r w:rsidRPr="006A2303">
        <w:t xml:space="preserve"> </w:t>
      </w:r>
      <w:r w:rsidR="00A66793" w:rsidRPr="006A2303">
        <w:rPr>
          <w:rFonts w:ascii="Verdana" w:hAnsi="Verdana"/>
          <w:sz w:val="20"/>
          <w:szCs w:val="20"/>
        </w:rPr>
        <w:t xml:space="preserve">PNRR/C15/R5/I16 </w:t>
      </w:r>
      <w:r w:rsidRPr="006A2303">
        <w:rPr>
          <w:rFonts w:ascii="Verdana" w:hAnsi="Verdana"/>
          <w:color w:val="333333"/>
          <w:sz w:val="20"/>
          <w:szCs w:val="20"/>
        </w:rPr>
        <w:t>şi în cadrul Contractului de finanţare nr.</w:t>
      </w:r>
      <w:r w:rsidRPr="006A2303">
        <w:t xml:space="preserve"> </w:t>
      </w:r>
      <w:r w:rsidR="00A66793" w:rsidRPr="006A2303">
        <w:rPr>
          <w:rFonts w:ascii="Verdana" w:hAnsi="Verdana"/>
          <w:sz w:val="20"/>
          <w:szCs w:val="20"/>
        </w:rPr>
        <w:t>14073/ 16.09.2022</w:t>
      </w:r>
      <w:r w:rsidRPr="006A2303">
        <w:rPr>
          <w:rFonts w:ascii="Verdana" w:hAnsi="Verdana"/>
          <w:color w:val="333333"/>
          <w:sz w:val="20"/>
          <w:szCs w:val="20"/>
        </w:rPr>
        <w:t>,</w:t>
      </w:r>
      <w:r w:rsidRPr="00FF218B">
        <w:rPr>
          <w:rFonts w:ascii="Verdana" w:hAnsi="Verdana"/>
          <w:color w:val="333333"/>
          <w:sz w:val="20"/>
          <w:szCs w:val="20"/>
        </w:rPr>
        <w:t xml:space="preserve"> pe propria răspundere, sub sancțiunea falsului în declarații, aşa cum este acesta  </w:t>
      </w:r>
      <w:r w:rsidRPr="00C84B15">
        <w:rPr>
          <w:rFonts w:ascii="Verdana" w:hAnsi="Verdana"/>
          <w:sz w:val="20"/>
          <w:szCs w:val="20"/>
        </w:rPr>
        <w:t xml:space="preserve">prevăzut  la  </w:t>
      </w:r>
      <w:hyperlink r:id="rId7">
        <w:r w:rsidRPr="00C84B15">
          <w:rPr>
            <w:rFonts w:ascii="Verdana" w:hAnsi="Verdana"/>
            <w:sz w:val="20"/>
            <w:szCs w:val="20"/>
          </w:rPr>
          <w:t>art.  326</w:t>
        </w:r>
      </w:hyperlink>
      <w:r w:rsidRPr="00C84B15">
        <w:rPr>
          <w:rFonts w:ascii="Verdana" w:hAnsi="Verdana"/>
          <w:sz w:val="20"/>
          <w:szCs w:val="20"/>
        </w:rPr>
        <w:t xml:space="preserve"> din</w:t>
      </w:r>
      <w:r w:rsidR="00057C49">
        <w:rPr>
          <w:rFonts w:ascii="Verdana" w:hAnsi="Verdana"/>
          <w:sz w:val="20"/>
          <w:szCs w:val="20"/>
        </w:rPr>
        <w:t xml:space="preserve"> </w:t>
      </w:r>
      <w:r w:rsidRPr="00C84B15">
        <w:rPr>
          <w:rFonts w:ascii="Verdana" w:hAnsi="Verdana"/>
          <w:sz w:val="20"/>
          <w:szCs w:val="20"/>
        </w:rPr>
        <w:t xml:space="preserve">Legea  </w:t>
      </w:r>
      <w:hyperlink r:id="rId8">
        <w:r w:rsidRPr="00C84B15">
          <w:rPr>
            <w:rFonts w:ascii="Verdana" w:hAnsi="Verdana"/>
            <w:sz w:val="20"/>
            <w:szCs w:val="20"/>
          </w:rPr>
          <w:t>nr.  286/2009</w:t>
        </w:r>
      </w:hyperlink>
      <w:r w:rsidRPr="00C84B15">
        <w:rPr>
          <w:rFonts w:ascii="Verdana" w:hAnsi="Verdana"/>
          <w:sz w:val="20"/>
          <w:szCs w:val="20"/>
        </w:rPr>
        <w:t xml:space="preserve">  privind  Codul  penal,  cu  modificările  și  completările ulterioare, şi la </w:t>
      </w:r>
      <w:hyperlink r:id="rId9">
        <w:r w:rsidRPr="00C84B15">
          <w:rPr>
            <w:rFonts w:ascii="Verdana" w:hAnsi="Verdana"/>
            <w:sz w:val="20"/>
            <w:szCs w:val="20"/>
          </w:rPr>
          <w:t>art. 181</w:t>
        </w:r>
      </w:hyperlink>
      <w:r w:rsidRPr="00C84B15">
        <w:rPr>
          <w:rFonts w:ascii="Verdana" w:hAnsi="Verdana"/>
          <w:sz w:val="20"/>
          <w:szCs w:val="20"/>
        </w:rPr>
        <w:t xml:space="preserve"> din Legea nr. 78/2000 pentru prevenirea, descoperirea şi sancționarea faptelor de corupție, cu modificările şi completările ulterioare, declar următoarele:</w:t>
      </w:r>
    </w:p>
    <w:p w14:paraId="5219E292" w14:textId="37407AE4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ofertantul</w:t>
      </w:r>
      <w:r w:rsidRPr="00C84B15">
        <w:rPr>
          <w:rFonts w:ascii="Verdana" w:hAnsi="Verdana"/>
          <w:sz w:val="20"/>
          <w:szCs w:val="20"/>
        </w:rPr>
        <w:t xml:space="preserve">, . . . . . . . . . . S.A./S.R.L., pe care îl reprezint, sau bugetele administrate de aceasta sau în numele ei nu a beneficiat şi nu beneficiază în prezent de finanţare din fonduri externe nerambursabile </w:t>
      </w:r>
      <w:r w:rsidR="00012420" w:rsidRPr="00C84B15">
        <w:rPr>
          <w:rFonts w:ascii="Verdana" w:hAnsi="Verdana"/>
          <w:sz w:val="20"/>
          <w:szCs w:val="20"/>
        </w:rPr>
        <w:t>și</w:t>
      </w:r>
      <w:r w:rsidRPr="00C84B15">
        <w:rPr>
          <w:rFonts w:ascii="Verdana" w:hAnsi="Verdana"/>
          <w:sz w:val="20"/>
          <w:szCs w:val="20"/>
        </w:rPr>
        <w:t xml:space="preserve">/sau rambursabile, pentru </w:t>
      </w:r>
      <w:r w:rsidR="00012420" w:rsidRPr="00C84B15">
        <w:rPr>
          <w:rFonts w:ascii="Verdana" w:hAnsi="Verdana"/>
          <w:sz w:val="20"/>
          <w:szCs w:val="20"/>
        </w:rPr>
        <w:t>activitățile</w:t>
      </w:r>
      <w:r w:rsidRPr="00C84B15">
        <w:rPr>
          <w:rFonts w:ascii="Verdana" w:hAnsi="Verdana"/>
          <w:sz w:val="20"/>
          <w:szCs w:val="20"/>
        </w:rPr>
        <w:t xml:space="preserve"> specifice care fac obiectul prezentei oferte pentru </w:t>
      </w:r>
      <w:r w:rsidR="00012420" w:rsidRPr="00C84B15">
        <w:rPr>
          <w:rFonts w:ascii="Verdana" w:hAnsi="Verdana"/>
          <w:sz w:val="20"/>
          <w:szCs w:val="20"/>
        </w:rPr>
        <w:t>achiziții</w:t>
      </w:r>
      <w:r w:rsidRPr="00C84B15">
        <w:rPr>
          <w:rFonts w:ascii="Verdana" w:hAnsi="Verdana"/>
          <w:sz w:val="20"/>
          <w:szCs w:val="20"/>
        </w:rPr>
        <w:t>;</w:t>
      </w:r>
    </w:p>
    <w:p w14:paraId="4615D0C2" w14:textId="1AB7BC80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 w:rsidRPr="00C84B15">
        <w:rPr>
          <w:rFonts w:ascii="Verdana" w:hAnsi="Verdana"/>
          <w:sz w:val="20"/>
          <w:szCs w:val="20"/>
        </w:rPr>
        <w:t xml:space="preserve">nu am </w:t>
      </w:r>
      <w:r w:rsidR="00012420" w:rsidRPr="00C84B15">
        <w:rPr>
          <w:rFonts w:ascii="Verdana" w:hAnsi="Verdana"/>
          <w:sz w:val="20"/>
          <w:szCs w:val="20"/>
        </w:rPr>
        <w:t>cunoștință</w:t>
      </w:r>
      <w:r w:rsidRPr="00C84B15">
        <w:rPr>
          <w:rFonts w:ascii="Verdana" w:hAnsi="Verdana"/>
          <w:sz w:val="20"/>
          <w:szCs w:val="20"/>
        </w:rPr>
        <w:t xml:space="preserve"> de vreo </w:t>
      </w:r>
      <w:r w:rsidR="00012420" w:rsidRPr="00C84B15">
        <w:rPr>
          <w:rFonts w:ascii="Verdana" w:hAnsi="Verdana"/>
          <w:sz w:val="20"/>
          <w:szCs w:val="20"/>
        </w:rPr>
        <w:t>situație</w:t>
      </w:r>
      <w:r w:rsidRPr="00C84B15">
        <w:rPr>
          <w:rFonts w:ascii="Verdana" w:hAnsi="Verdana"/>
          <w:sz w:val="20"/>
          <w:szCs w:val="20"/>
        </w:rPr>
        <w:t xml:space="preserve"> de "dublă finanţare", </w:t>
      </w:r>
      <w:r w:rsidR="00012420" w:rsidRPr="00C84B15">
        <w:rPr>
          <w:rFonts w:ascii="Verdana" w:hAnsi="Verdana"/>
          <w:sz w:val="20"/>
          <w:szCs w:val="20"/>
        </w:rPr>
        <w:t>așa</w:t>
      </w:r>
      <w:r w:rsidRPr="00C84B15">
        <w:rPr>
          <w:rFonts w:ascii="Verdana" w:hAnsi="Verdana"/>
          <w:sz w:val="20"/>
          <w:szCs w:val="20"/>
        </w:rPr>
        <w:t xml:space="preserve"> cum este ea definită la </w:t>
      </w:r>
      <w:hyperlink r:id="rId10">
        <w:r w:rsidRPr="00C84B15">
          <w:rPr>
            <w:rFonts w:ascii="Verdana" w:hAnsi="Verdana"/>
            <w:sz w:val="20"/>
            <w:szCs w:val="20"/>
          </w:rPr>
          <w:t xml:space="preserve">art. 9 </w:t>
        </w:r>
      </w:hyperlink>
      <w:r w:rsidRPr="00C84B15">
        <w:rPr>
          <w:rFonts w:ascii="Verdana" w:hAnsi="Verdana"/>
          <w:sz w:val="20"/>
          <w:szCs w:val="20"/>
        </w:rPr>
        <w:t xml:space="preserve">din Regulamentul (UE) 2021/241 al Parlamentului European şi al Consiliului din 12 februarie 2021 de instituire a Mecanismului de redresare şi </w:t>
      </w:r>
      <w:r w:rsidR="00012420" w:rsidRPr="00C84B15">
        <w:rPr>
          <w:rFonts w:ascii="Verdana" w:hAnsi="Verdana"/>
          <w:sz w:val="20"/>
          <w:szCs w:val="20"/>
        </w:rPr>
        <w:t>reziliență</w:t>
      </w:r>
      <w:r w:rsidRPr="00C84B15">
        <w:rPr>
          <w:rFonts w:ascii="Verdana" w:hAnsi="Verdana"/>
          <w:sz w:val="20"/>
          <w:szCs w:val="20"/>
        </w:rPr>
        <w:t xml:space="preserve"> şi la art. 191 din Regulamentul (UE, Euratom) 2018/1.046 al Parlamentului European şi al Consiliului din 18 iulie 2018 privind normele financiare aplicabile bugetului general al Uniunii, de modificare a Regulamentelor (UE) </w:t>
      </w:r>
      <w:hyperlink r:id="rId11">
        <w:r w:rsidRPr="00C84B15">
          <w:rPr>
            <w:rFonts w:ascii="Verdana" w:hAnsi="Verdana"/>
            <w:sz w:val="20"/>
            <w:szCs w:val="20"/>
          </w:rPr>
          <w:t>nr. 1.296/2013</w:t>
        </w:r>
      </w:hyperlink>
      <w:r w:rsidRPr="00C84B15">
        <w:rPr>
          <w:rFonts w:ascii="Verdana" w:hAnsi="Verdana"/>
          <w:sz w:val="20"/>
          <w:szCs w:val="20"/>
        </w:rPr>
        <w:t xml:space="preserve">, (UE) </w:t>
      </w:r>
      <w:hyperlink r:id="rId12">
        <w:r w:rsidRPr="00C84B15">
          <w:rPr>
            <w:rFonts w:ascii="Verdana" w:hAnsi="Verdana"/>
            <w:sz w:val="20"/>
            <w:szCs w:val="20"/>
          </w:rPr>
          <w:t>nr. 1.301/2013</w:t>
        </w:r>
      </w:hyperlink>
      <w:r w:rsidRPr="00C84B15">
        <w:rPr>
          <w:rFonts w:ascii="Verdana" w:hAnsi="Verdana"/>
          <w:sz w:val="20"/>
          <w:szCs w:val="20"/>
        </w:rPr>
        <w:t xml:space="preserve">, (UE) nr. 1.303/2013, (UE) nr. 1.304/2013, (UE) nr. 1.309/2013, (UE) nr. 1.316/2013, (UE) nr. 223/2014, (UE) nr. 283/2014 şi a Deciziei </w:t>
      </w:r>
      <w:hyperlink r:id="rId13">
        <w:r w:rsidRPr="00C84B15">
          <w:rPr>
            <w:rFonts w:ascii="Verdana" w:hAnsi="Verdana"/>
            <w:sz w:val="20"/>
            <w:szCs w:val="20"/>
          </w:rPr>
          <w:t>nr. 541/2014/UE</w:t>
        </w:r>
      </w:hyperlink>
      <w:r w:rsidRPr="00C84B15">
        <w:rPr>
          <w:rFonts w:ascii="Verdana" w:hAnsi="Verdana"/>
          <w:sz w:val="20"/>
          <w:szCs w:val="20"/>
        </w:rPr>
        <w:t xml:space="preserve"> şi de abrogare a Regulamentului (UE, Euratom) </w:t>
      </w:r>
      <w:hyperlink r:id="rId14">
        <w:r w:rsidRPr="00C84B15">
          <w:rPr>
            <w:rFonts w:ascii="Verdana" w:hAnsi="Verdana"/>
            <w:sz w:val="20"/>
            <w:szCs w:val="20"/>
          </w:rPr>
          <w:t>nr. 966/2012</w:t>
        </w:r>
      </w:hyperlink>
      <w:r w:rsidRPr="00C84B15">
        <w:rPr>
          <w:rFonts w:ascii="Verdana" w:hAnsi="Verdana"/>
          <w:sz w:val="20"/>
          <w:szCs w:val="20"/>
        </w:rPr>
        <w:t>.</w:t>
      </w:r>
    </w:p>
    <w:p w14:paraId="4DF67486" w14:textId="17974656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 w:rsidRPr="00C84B15">
        <w:rPr>
          <w:rFonts w:ascii="Verdana" w:hAnsi="Verdana"/>
          <w:sz w:val="20"/>
          <w:szCs w:val="20"/>
        </w:rPr>
        <w:t xml:space="preserve">De asemenea, declar că </w:t>
      </w:r>
      <w:r w:rsidR="00012420" w:rsidRPr="00C84B15">
        <w:rPr>
          <w:rFonts w:ascii="Verdana" w:hAnsi="Verdana"/>
          <w:sz w:val="20"/>
          <w:szCs w:val="20"/>
        </w:rPr>
        <w:t>informațiile</w:t>
      </w:r>
      <w:r w:rsidRPr="00C84B15">
        <w:rPr>
          <w:rFonts w:ascii="Verdana" w:hAnsi="Verdana"/>
          <w:sz w:val="20"/>
          <w:szCs w:val="20"/>
        </w:rPr>
        <w:t xml:space="preserve"> furnizate sunt complete şi corecte în fiecare detaliu</w:t>
      </w:r>
      <w:r w:rsidR="00222429">
        <w:rPr>
          <w:rFonts w:ascii="Verdana" w:hAnsi="Verdana"/>
          <w:sz w:val="20"/>
          <w:szCs w:val="20"/>
        </w:rPr>
        <w:t xml:space="preserve"> </w:t>
      </w:r>
      <w:r w:rsidRPr="00C84B15">
        <w:rPr>
          <w:rFonts w:ascii="Verdana" w:hAnsi="Verdana"/>
          <w:sz w:val="20"/>
          <w:szCs w:val="20"/>
        </w:rPr>
        <w:t>şi înțeleg că Ministerul Investițiilor şi Proiectelor Europene, coordonatorul de reforme/</w:t>
      </w:r>
      <w:r w:rsidR="00222429" w:rsidRPr="00C84B15">
        <w:rPr>
          <w:rFonts w:ascii="Verdana" w:hAnsi="Verdana"/>
          <w:sz w:val="20"/>
          <w:szCs w:val="20"/>
        </w:rPr>
        <w:t>investiții</w:t>
      </w:r>
      <w:r w:rsidRPr="00C84B15">
        <w:rPr>
          <w:rFonts w:ascii="Verdana" w:hAnsi="Verdana"/>
          <w:sz w:val="20"/>
          <w:szCs w:val="20"/>
        </w:rPr>
        <w:t xml:space="preserve"> şi autoritatea de audit au dreptul de a-mi solicita, în scopul verificării şi confirmării declarației, orice informații suplimentare.</w:t>
      </w:r>
    </w:p>
    <w:p w14:paraId="02E10E8D" w14:textId="30A43C11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 w:rsidRPr="00C84B15">
        <w:rPr>
          <w:rFonts w:ascii="Verdana" w:hAnsi="Verdana"/>
          <w:sz w:val="20"/>
          <w:szCs w:val="20"/>
        </w:rPr>
        <w:lastRenderedPageBreak/>
        <w:t xml:space="preserve">Înțeleg că, în cazul în care această declarație nu este conformă cu realitatea, sunt pasibil de încălcarea prevederilor legislației penale privind falsul în </w:t>
      </w:r>
      <w:r w:rsidR="00012420" w:rsidRPr="00C84B15">
        <w:rPr>
          <w:rFonts w:ascii="Verdana" w:hAnsi="Verdana"/>
          <w:sz w:val="20"/>
          <w:szCs w:val="20"/>
        </w:rPr>
        <w:t>declarații</w:t>
      </w:r>
      <w:r w:rsidRPr="00C84B15">
        <w:rPr>
          <w:rFonts w:ascii="Verdana" w:hAnsi="Verdana"/>
          <w:sz w:val="20"/>
          <w:szCs w:val="20"/>
        </w:rPr>
        <w:t>.</w:t>
      </w:r>
    </w:p>
    <w:p w14:paraId="0EF7F0D9" w14:textId="3452F2C4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 w:rsidRPr="00C84B15">
        <w:rPr>
          <w:rFonts w:ascii="Verdana" w:hAnsi="Verdana"/>
          <w:sz w:val="20"/>
          <w:szCs w:val="20"/>
        </w:rPr>
        <w:t xml:space="preserve">Am luat cunoștință că declarația în fals atrage după sine încetarea contractului de </w:t>
      </w:r>
      <w:r w:rsidR="00012420" w:rsidRPr="00C84B15">
        <w:rPr>
          <w:rFonts w:ascii="Verdana" w:hAnsi="Verdana"/>
          <w:sz w:val="20"/>
          <w:szCs w:val="20"/>
        </w:rPr>
        <w:t>achiziție</w:t>
      </w:r>
      <w:r w:rsidRPr="00C84B15">
        <w:rPr>
          <w:rFonts w:ascii="Verdana" w:hAnsi="Verdana"/>
          <w:sz w:val="20"/>
          <w:szCs w:val="20"/>
        </w:rPr>
        <w:t xml:space="preserve">, precum şi obligarea ofertantului pe care îl reprezint la rambursarea sumelor care fac obiectul dublei </w:t>
      </w:r>
      <w:r w:rsidR="00012420" w:rsidRPr="00C84B15">
        <w:rPr>
          <w:rFonts w:ascii="Verdana" w:hAnsi="Verdana"/>
          <w:sz w:val="20"/>
          <w:szCs w:val="20"/>
        </w:rPr>
        <w:t>finanțări</w:t>
      </w:r>
      <w:r w:rsidRPr="00C84B15">
        <w:rPr>
          <w:rFonts w:ascii="Verdana" w:hAnsi="Verdana"/>
          <w:sz w:val="20"/>
          <w:szCs w:val="20"/>
        </w:rPr>
        <w:t xml:space="preserve"> şi la plata de despăgubiri pentru perioada scursă de la încasarea sumelor până la data descoperirii falsului.</w:t>
      </w:r>
    </w:p>
    <w:p w14:paraId="58DF5C18" w14:textId="77777777" w:rsidR="00B474B8" w:rsidRPr="00C84B15" w:rsidRDefault="00B474B8" w:rsidP="00057C49">
      <w:pPr>
        <w:pStyle w:val="BodyText"/>
        <w:spacing w:line="343" w:lineRule="auto"/>
        <w:ind w:left="810" w:right="-90"/>
        <w:rPr>
          <w:rFonts w:ascii="Verdana" w:hAnsi="Verdana"/>
          <w:color w:val="333333"/>
          <w:sz w:val="20"/>
          <w:szCs w:val="20"/>
        </w:rPr>
      </w:pPr>
    </w:p>
    <w:p w14:paraId="0BDCFC75" w14:textId="77777777" w:rsidR="00B474B8" w:rsidRPr="00FF218B" w:rsidRDefault="00B474B8" w:rsidP="00057C49">
      <w:pPr>
        <w:pStyle w:val="BodyText"/>
        <w:spacing w:line="343" w:lineRule="auto"/>
        <w:ind w:left="810" w:right="-90"/>
        <w:rPr>
          <w:rFonts w:ascii="Verdana" w:hAnsi="Verdana"/>
          <w:color w:val="333333"/>
          <w:sz w:val="20"/>
          <w:szCs w:val="20"/>
        </w:rPr>
      </w:pPr>
    </w:p>
    <w:p w14:paraId="37CDD205" w14:textId="77777777" w:rsidR="00B474B8" w:rsidRPr="00FF218B" w:rsidRDefault="00B474B8" w:rsidP="00057C49">
      <w:pPr>
        <w:pStyle w:val="BodyText"/>
        <w:spacing w:line="343" w:lineRule="auto"/>
        <w:ind w:left="810" w:right="-90" w:hanging="630"/>
        <w:rPr>
          <w:rFonts w:ascii="Verdana" w:hAnsi="Verdana"/>
          <w:color w:val="333333"/>
          <w:sz w:val="20"/>
          <w:szCs w:val="20"/>
        </w:rPr>
      </w:pPr>
      <w:r w:rsidRPr="00FF218B">
        <w:rPr>
          <w:rFonts w:ascii="Verdana" w:hAnsi="Verdana"/>
          <w:color w:val="333333"/>
          <w:sz w:val="20"/>
          <w:szCs w:val="20"/>
        </w:rPr>
        <w:t xml:space="preserve">(numele şi funcția) </w:t>
      </w:r>
    </w:p>
    <w:p w14:paraId="6037C7D0" w14:textId="25748DC9" w:rsidR="0087119E" w:rsidRPr="000B7EC3" w:rsidRDefault="00B474B8" w:rsidP="00057C49">
      <w:pPr>
        <w:pStyle w:val="BodyText"/>
        <w:spacing w:line="343" w:lineRule="auto"/>
        <w:ind w:left="810" w:right="-90" w:hanging="630"/>
        <w:rPr>
          <w:rFonts w:ascii="Verdana" w:hAnsi="Verdana"/>
          <w:sz w:val="20"/>
          <w:szCs w:val="20"/>
        </w:rPr>
      </w:pPr>
      <w:r w:rsidRPr="00FF218B">
        <w:rPr>
          <w:rFonts w:ascii="Verdana" w:hAnsi="Verdana"/>
          <w:color w:val="333333"/>
          <w:sz w:val="20"/>
          <w:szCs w:val="20"/>
        </w:rPr>
        <w:t>(data, semnătura)</w:t>
      </w:r>
    </w:p>
    <w:sectPr w:rsidR="0087119E" w:rsidRPr="000B7EC3" w:rsidSect="00057C49">
      <w:headerReference w:type="default" r:id="rId15"/>
      <w:footerReference w:type="default" r:id="rId16"/>
      <w:pgSz w:w="12240" w:h="15840"/>
      <w:pgMar w:top="1440" w:right="1080" w:bottom="10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3D9C" w14:textId="77777777" w:rsidR="004E183A" w:rsidRDefault="004E183A">
      <w:pPr>
        <w:spacing w:line="240" w:lineRule="auto"/>
      </w:pPr>
      <w:r>
        <w:separator/>
      </w:r>
    </w:p>
  </w:endnote>
  <w:endnote w:type="continuationSeparator" w:id="0">
    <w:p w14:paraId="509EDF74" w14:textId="77777777" w:rsidR="004E183A" w:rsidRDefault="004E1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F0B" w14:textId="4A905462" w:rsidR="00A5562C" w:rsidRPr="00A5562C" w:rsidRDefault="00A5562C" w:rsidP="00003AA6">
    <w:pPr>
      <w:pStyle w:val="Footer"/>
      <w:jc w:val="right"/>
      <w:rPr>
        <w:lang w:val="ro-RO"/>
      </w:rPr>
    </w:pPr>
  </w:p>
  <w:tbl>
    <w:tblPr>
      <w:tblStyle w:val="TableGrid"/>
      <w:tblW w:w="972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5"/>
      <w:gridCol w:w="2605"/>
      <w:gridCol w:w="1355"/>
    </w:tblGrid>
    <w:tr w:rsidR="00A5562C" w:rsidRPr="00A5562C" w14:paraId="65E70DA1" w14:textId="77777777" w:rsidTr="00003AA6">
      <w:tc>
        <w:tcPr>
          <w:tcW w:w="5765" w:type="dxa"/>
          <w:vAlign w:val="center"/>
        </w:tcPr>
        <w:p w14:paraId="14730579" w14:textId="22A8348B" w:rsidR="00A5562C" w:rsidRPr="00A5562C" w:rsidRDefault="00EF6E37" w:rsidP="00003AA6">
          <w:pPr>
            <w:pStyle w:val="Default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003AA6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</w:t>
          </w: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003AA6">
          <w:pPr>
            <w:pStyle w:val="Footer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003AA6">
          <w:pPr>
            <w:pStyle w:val="Footer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 w:rsidP="00003AA6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1CB6D" w14:textId="77777777" w:rsidR="004E183A" w:rsidRDefault="004E183A">
      <w:pPr>
        <w:spacing w:after="0"/>
      </w:pPr>
      <w:r>
        <w:separator/>
      </w:r>
    </w:p>
  </w:footnote>
  <w:footnote w:type="continuationSeparator" w:id="0">
    <w:p w14:paraId="5D236752" w14:textId="77777777" w:rsidR="004E183A" w:rsidRDefault="004E18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7"/>
      <w:gridCol w:w="23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777611035" name="Picture 7776110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6C7D1D20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</w:p>
      </w:tc>
    </w:tr>
  </w:tbl>
  <w:p w14:paraId="64E9E40E" w14:textId="68E24966" w:rsidR="00182825" w:rsidRPr="00E31FE4" w:rsidRDefault="00182825" w:rsidP="00F137CE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AA6"/>
    <w:rsid w:val="00003E61"/>
    <w:rsid w:val="000059C4"/>
    <w:rsid w:val="0001212A"/>
    <w:rsid w:val="00012420"/>
    <w:rsid w:val="00012C58"/>
    <w:rsid w:val="0001581B"/>
    <w:rsid w:val="000372C4"/>
    <w:rsid w:val="00057C49"/>
    <w:rsid w:val="00070D39"/>
    <w:rsid w:val="000B7EC3"/>
    <w:rsid w:val="000C30C1"/>
    <w:rsid w:val="000D44D4"/>
    <w:rsid w:val="000D738E"/>
    <w:rsid w:val="001043AB"/>
    <w:rsid w:val="0010528D"/>
    <w:rsid w:val="00163F06"/>
    <w:rsid w:val="00182825"/>
    <w:rsid w:val="00200095"/>
    <w:rsid w:val="00212C06"/>
    <w:rsid w:val="00222429"/>
    <w:rsid w:val="00267EF3"/>
    <w:rsid w:val="002E0F35"/>
    <w:rsid w:val="002E196C"/>
    <w:rsid w:val="00307D00"/>
    <w:rsid w:val="00330A1A"/>
    <w:rsid w:val="00334BB4"/>
    <w:rsid w:val="003748A8"/>
    <w:rsid w:val="0038388F"/>
    <w:rsid w:val="003C3C1D"/>
    <w:rsid w:val="003D5C6D"/>
    <w:rsid w:val="003E43FD"/>
    <w:rsid w:val="003F1C6C"/>
    <w:rsid w:val="003F2574"/>
    <w:rsid w:val="003F4E39"/>
    <w:rsid w:val="004038A0"/>
    <w:rsid w:val="00430F68"/>
    <w:rsid w:val="00441A29"/>
    <w:rsid w:val="00471836"/>
    <w:rsid w:val="004A4CBA"/>
    <w:rsid w:val="004D5A83"/>
    <w:rsid w:val="004E183A"/>
    <w:rsid w:val="004E219A"/>
    <w:rsid w:val="004E2E6E"/>
    <w:rsid w:val="00532468"/>
    <w:rsid w:val="005347A4"/>
    <w:rsid w:val="005430C7"/>
    <w:rsid w:val="0054611D"/>
    <w:rsid w:val="00554B29"/>
    <w:rsid w:val="005651C8"/>
    <w:rsid w:val="00566011"/>
    <w:rsid w:val="00593F52"/>
    <w:rsid w:val="005D2941"/>
    <w:rsid w:val="005D56CC"/>
    <w:rsid w:val="005F3E02"/>
    <w:rsid w:val="006258F6"/>
    <w:rsid w:val="006703A6"/>
    <w:rsid w:val="00697E4E"/>
    <w:rsid w:val="006A0F29"/>
    <w:rsid w:val="006A2303"/>
    <w:rsid w:val="006A4445"/>
    <w:rsid w:val="006C4F4A"/>
    <w:rsid w:val="006D7EA5"/>
    <w:rsid w:val="00701E39"/>
    <w:rsid w:val="00724E76"/>
    <w:rsid w:val="007548E3"/>
    <w:rsid w:val="00784523"/>
    <w:rsid w:val="007849A1"/>
    <w:rsid w:val="007A0F44"/>
    <w:rsid w:val="007A23F7"/>
    <w:rsid w:val="007F1F8C"/>
    <w:rsid w:val="007F681C"/>
    <w:rsid w:val="00803259"/>
    <w:rsid w:val="00811B43"/>
    <w:rsid w:val="00814AC1"/>
    <w:rsid w:val="00837FB5"/>
    <w:rsid w:val="00845CDA"/>
    <w:rsid w:val="0087119E"/>
    <w:rsid w:val="00882F60"/>
    <w:rsid w:val="00895D65"/>
    <w:rsid w:val="008A269C"/>
    <w:rsid w:val="008B1FA0"/>
    <w:rsid w:val="008D0A0E"/>
    <w:rsid w:val="008D0D87"/>
    <w:rsid w:val="008D73FA"/>
    <w:rsid w:val="009016FD"/>
    <w:rsid w:val="00906FE5"/>
    <w:rsid w:val="00931D97"/>
    <w:rsid w:val="009346D8"/>
    <w:rsid w:val="0096181D"/>
    <w:rsid w:val="009D120B"/>
    <w:rsid w:val="00A27A2A"/>
    <w:rsid w:val="00A425B8"/>
    <w:rsid w:val="00A53734"/>
    <w:rsid w:val="00A5562C"/>
    <w:rsid w:val="00A66793"/>
    <w:rsid w:val="00A7339B"/>
    <w:rsid w:val="00AC38E9"/>
    <w:rsid w:val="00AE5C36"/>
    <w:rsid w:val="00B10313"/>
    <w:rsid w:val="00B171C5"/>
    <w:rsid w:val="00B474B8"/>
    <w:rsid w:val="00B82EDE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6181"/>
    <w:rsid w:val="00CE7A64"/>
    <w:rsid w:val="00CF0567"/>
    <w:rsid w:val="00D108FA"/>
    <w:rsid w:val="00D15183"/>
    <w:rsid w:val="00D2439B"/>
    <w:rsid w:val="00D567C2"/>
    <w:rsid w:val="00D62751"/>
    <w:rsid w:val="00DB20EE"/>
    <w:rsid w:val="00DC77EA"/>
    <w:rsid w:val="00E16C1C"/>
    <w:rsid w:val="00E31FE4"/>
    <w:rsid w:val="00E559FD"/>
    <w:rsid w:val="00E75E89"/>
    <w:rsid w:val="00E9647B"/>
    <w:rsid w:val="00EA1800"/>
    <w:rsid w:val="00EE7383"/>
    <w:rsid w:val="00EF6E37"/>
    <w:rsid w:val="00F02369"/>
    <w:rsid w:val="00F10FAD"/>
    <w:rsid w:val="00F11AA3"/>
    <w:rsid w:val="00F137CE"/>
    <w:rsid w:val="00F36ACC"/>
    <w:rsid w:val="00FB4101"/>
    <w:rsid w:val="00FC382E"/>
    <w:rsid w:val="00FC4B34"/>
    <w:rsid w:val="00FD097B"/>
    <w:rsid w:val="00FD7354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47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B474B8"/>
    <w:pPr>
      <w:widowControl w:val="0"/>
      <w:autoSpaceDE w:val="0"/>
      <w:autoSpaceDN w:val="0"/>
      <w:spacing w:before="2" w:after="0" w:line="240" w:lineRule="auto"/>
      <w:ind w:left="364"/>
      <w:jc w:val="both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474B8"/>
    <w:rPr>
      <w:rFonts w:ascii="Arial" w:eastAsia="Arial" w:hAnsi="Arial" w:cs="Arial"/>
      <w:sz w:val="21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zdmobyge/legea-nr-286-2009-privind-codul-penal?d=2024-03-05" TargetMode="External"/><Relationship Id="rId13" Type="http://schemas.openxmlformats.org/officeDocument/2006/relationships/hyperlink" Target="http://lege5.ro/App/Document/gqydimjzg4/decizia-nr-541-2014-privind-masuri-legate-de-operatiuni-tintite-de-refinantare-pe-termen-mai-lung-bce-2014-34?d=2024-03-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e5.ro/App/Document/gezdmnrzgi/codul-penal-din-2009?pid=312709239&amp;amp;d=2024-03-05&amp;amp;p-312709239" TargetMode="External"/><Relationship Id="rId12" Type="http://schemas.openxmlformats.org/officeDocument/2006/relationships/hyperlink" Target="http://lege5.ro/App/Document/gm4tambvge/regulamentul-nr-1301-2013-privind-fondul-european-de-dezvoltare-regionala-si-dispozitiile-specifice-aplicabile-obiectivului-referitor-la-investitiile-pentru-crestere-economica-si-locuri-de-munca-si-de?d=2024-03-0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ge5.ro/App/Document/gm4tambsgq/regulamentul-nr-1296-2013-privind-programul-uniunii-europene-pentru-ocuparea-fortei-de-munca-si-inovare-sociala-easi-si-de-abrogare-a-deciziei-nr-283-2010-ue-de-instituire-a-unui-instrument-european-d?d=2024-03-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ege5.ro/App/Document/gqztgmjzgy4q/regulamentul-nr-241-2021-de-instituire-a-mecanismului-de-redresare-si-rezilienta?pid=337228158&amp;amp;d=2024-03-05&amp;amp;p-337228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e5.ro/App/Document/gi3dkobu/legea-nr-78-2000-pentru-prevenirea-descoperirea-si-sanctionarea-faptelor-de-coruptie?pid=65402587&amp;amp;d=2024-03-05&amp;amp;p-65402587" TargetMode="External"/><Relationship Id="rId14" Type="http://schemas.openxmlformats.org/officeDocument/2006/relationships/hyperlink" Target="http://lege5.ro/App/Document/gmztenjqgq/regulamentul-nr-966-2012-privind-normele-financiare-aplicabile-bugetului-general-al-uniunii-si-de-abrogare-a-regulamentului-ce-euratom-nr-1605-2002-al-consiliului?d=2024-03-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10</cp:revision>
  <cp:lastPrinted>2022-06-17T11:27:00Z</cp:lastPrinted>
  <dcterms:created xsi:type="dcterms:W3CDTF">2025-02-24T13:49:00Z</dcterms:created>
  <dcterms:modified xsi:type="dcterms:W3CDTF">2025-09-11T13:58:00Z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